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4F4D6E" w14:textId="758CA7EF" w:rsidR="005F33D2" w:rsidRPr="001C105A" w:rsidRDefault="00FE2873" w:rsidP="005F33D2">
      <w:pPr>
        <w:jc w:val="center"/>
        <w:rPr>
          <w:rFonts w:asciiTheme="minorHAnsi" w:hAnsiTheme="minorHAnsi" w:cstheme="minorHAnsi"/>
          <w:sz w:val="22"/>
          <w:lang w:val="en-US"/>
        </w:rPr>
      </w:pPr>
      <w:r w:rsidRPr="001C105A">
        <w:rPr>
          <w:rFonts w:asciiTheme="minorHAnsi" w:hAnsiTheme="minorHAnsi" w:cstheme="minorHAnsi"/>
          <w:noProof/>
          <w:sz w:val="22"/>
          <w:lang w:eastAsia="el-GR"/>
        </w:rPr>
        <w:drawing>
          <wp:inline distT="0" distB="0" distL="0" distR="0" wp14:anchorId="30136DCB" wp14:editId="7467C2DC">
            <wp:extent cx="1487805" cy="609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87805" cy="609600"/>
                    </a:xfrm>
                    <a:prstGeom prst="rect">
                      <a:avLst/>
                    </a:prstGeom>
                    <a:noFill/>
                  </pic:spPr>
                </pic:pic>
              </a:graphicData>
            </a:graphic>
          </wp:inline>
        </w:drawing>
      </w:r>
    </w:p>
    <w:p w14:paraId="389029E9" w14:textId="331EB0AA" w:rsidR="00FE2873" w:rsidRPr="001C105A" w:rsidRDefault="00FE2873" w:rsidP="00FE2873">
      <w:pPr>
        <w:jc w:val="center"/>
        <w:rPr>
          <w:rFonts w:asciiTheme="minorHAnsi" w:hAnsiTheme="minorHAnsi" w:cstheme="minorHAnsi"/>
          <w:b/>
          <w:bCs/>
          <w:sz w:val="22"/>
          <w:lang w:val="en-US"/>
        </w:rPr>
      </w:pPr>
      <w:r w:rsidRPr="001C105A">
        <w:rPr>
          <w:rFonts w:asciiTheme="minorHAnsi" w:hAnsiTheme="minorHAnsi" w:cstheme="minorHAnsi"/>
          <w:b/>
          <w:bCs/>
          <w:sz w:val="22"/>
          <w:lang w:val="en-US"/>
        </w:rPr>
        <w:t>PRODEA REAL ESTATE INVESTMENT</w:t>
      </w:r>
      <w:r w:rsidR="00F73320">
        <w:rPr>
          <w:rFonts w:asciiTheme="minorHAnsi" w:hAnsiTheme="minorHAnsi" w:cstheme="minorHAnsi"/>
          <w:b/>
          <w:bCs/>
          <w:sz w:val="22"/>
          <w:lang w:val="en-US"/>
        </w:rPr>
        <w:t xml:space="preserve"> COMPANY </w:t>
      </w:r>
      <w:bookmarkStart w:id="0" w:name="_Hlk76986411"/>
      <w:r w:rsidR="00F73320" w:rsidRPr="00F73320">
        <w:rPr>
          <w:rFonts w:asciiTheme="minorHAnsi" w:hAnsiTheme="minorHAnsi" w:cstheme="minorHAnsi"/>
          <w:b/>
          <w:bCs/>
          <w:sz w:val="22"/>
          <w:lang w:val="en-US"/>
        </w:rPr>
        <w:t>SOCIÉTÉ ANONYME</w:t>
      </w:r>
      <w:bookmarkEnd w:id="0"/>
    </w:p>
    <w:p w14:paraId="0DA4B387" w14:textId="77777777" w:rsidR="00FE2873" w:rsidRPr="001C105A" w:rsidRDefault="00FE2873" w:rsidP="00FE2873">
      <w:pPr>
        <w:jc w:val="center"/>
        <w:rPr>
          <w:rFonts w:asciiTheme="minorHAnsi" w:hAnsiTheme="minorHAnsi" w:cstheme="minorHAnsi"/>
          <w:b/>
          <w:bCs/>
          <w:sz w:val="22"/>
          <w:lang w:val="en-US"/>
        </w:rPr>
      </w:pPr>
      <w:r w:rsidRPr="001C105A">
        <w:rPr>
          <w:rFonts w:asciiTheme="minorHAnsi" w:hAnsiTheme="minorHAnsi" w:cstheme="minorHAnsi"/>
          <w:b/>
          <w:bCs/>
          <w:sz w:val="22"/>
          <w:lang w:val="en-US"/>
        </w:rPr>
        <w:t>ANNOUNCEMENT – INVITATION TO INVESTORS</w:t>
      </w:r>
    </w:p>
    <w:p w14:paraId="0287FA65" w14:textId="52ACA82F" w:rsidR="00FE2873" w:rsidRPr="001C105A" w:rsidRDefault="00FE2873" w:rsidP="00FE2873">
      <w:pPr>
        <w:jc w:val="center"/>
        <w:rPr>
          <w:rFonts w:asciiTheme="minorHAnsi" w:hAnsiTheme="minorHAnsi" w:cstheme="minorHAnsi"/>
          <w:sz w:val="22"/>
          <w:lang w:val="en-US"/>
        </w:rPr>
      </w:pPr>
      <w:r w:rsidRPr="001C105A">
        <w:rPr>
          <w:rFonts w:asciiTheme="minorHAnsi" w:hAnsiTheme="minorHAnsi" w:cstheme="minorHAnsi"/>
          <w:sz w:val="22"/>
          <w:lang w:val="en-US"/>
        </w:rPr>
        <w:t>REGARDING THE PUBLIC OFFER IN GREECE BY WAY OF PAYMENT IN CASH AND THE ADMISSION TO TRADING IN THE CATEGORY OF FIXED INCOME SECURITIES OF THE REGULATED MARKET OF THE ATHENS EXCHANGE OF THE BONDS OF THE COMPANY “</w:t>
      </w:r>
      <w:r w:rsidRPr="001C105A">
        <w:rPr>
          <w:rFonts w:asciiTheme="minorHAnsi" w:hAnsiTheme="minorHAnsi" w:cstheme="minorHAnsi"/>
          <w:b/>
          <w:bCs/>
          <w:sz w:val="22"/>
          <w:lang w:val="en-US"/>
        </w:rPr>
        <w:t>PRODEA REAL ESTATE INVESTMENT</w:t>
      </w:r>
      <w:r w:rsidR="00954D9B">
        <w:rPr>
          <w:rFonts w:asciiTheme="minorHAnsi" w:hAnsiTheme="minorHAnsi" w:cstheme="minorHAnsi"/>
          <w:b/>
          <w:bCs/>
          <w:sz w:val="22"/>
          <w:lang w:val="en-US"/>
        </w:rPr>
        <w:t xml:space="preserve"> COMPANY </w:t>
      </w:r>
      <w:r w:rsidR="00954D9B" w:rsidRPr="00954D9B">
        <w:rPr>
          <w:rFonts w:asciiTheme="minorHAnsi" w:hAnsiTheme="minorHAnsi" w:cstheme="minorHAnsi"/>
          <w:b/>
          <w:bCs/>
          <w:sz w:val="22"/>
          <w:lang w:val="en-US"/>
        </w:rPr>
        <w:t>SOCIÉTÉ ANONYME</w:t>
      </w:r>
      <w:r w:rsidRPr="001C105A">
        <w:rPr>
          <w:rFonts w:asciiTheme="minorHAnsi" w:hAnsiTheme="minorHAnsi" w:cstheme="minorHAnsi"/>
          <w:b/>
          <w:bCs/>
          <w:sz w:val="22"/>
          <w:lang w:val="en-US"/>
        </w:rPr>
        <w:t>”</w:t>
      </w:r>
      <w:r w:rsidR="00F15A0E">
        <w:rPr>
          <w:rFonts w:asciiTheme="minorHAnsi" w:hAnsiTheme="minorHAnsi" w:cstheme="minorHAnsi"/>
          <w:b/>
          <w:bCs/>
          <w:sz w:val="22"/>
          <w:lang w:val="en-US"/>
        </w:rPr>
        <w:t xml:space="preserve"> </w:t>
      </w:r>
      <w:r w:rsidRPr="001C105A">
        <w:rPr>
          <w:rFonts w:asciiTheme="minorHAnsi" w:hAnsiTheme="minorHAnsi" w:cstheme="minorHAnsi"/>
          <w:sz w:val="22"/>
          <w:lang w:val="en-US"/>
        </w:rPr>
        <w:t xml:space="preserve">WITH THE ISSUANCE OF A COMMON BOND LOAN </w:t>
      </w:r>
    </w:p>
    <w:p w14:paraId="359D9895" w14:textId="77777777" w:rsidR="00FE2873" w:rsidRPr="001C105A" w:rsidRDefault="00FE2873" w:rsidP="00FE2873">
      <w:pPr>
        <w:jc w:val="center"/>
        <w:rPr>
          <w:rFonts w:asciiTheme="minorHAnsi" w:hAnsiTheme="minorHAnsi" w:cstheme="minorHAnsi"/>
          <w:b/>
          <w:bCs/>
          <w:sz w:val="22"/>
          <w:lang w:val="en-US"/>
        </w:rPr>
      </w:pPr>
      <w:r w:rsidRPr="001C105A">
        <w:rPr>
          <w:rFonts w:asciiTheme="minorHAnsi" w:hAnsiTheme="minorHAnsi" w:cstheme="minorHAnsi"/>
          <w:b/>
          <w:bCs/>
          <w:sz w:val="22"/>
          <w:lang w:val="en-US"/>
        </w:rPr>
        <w:t xml:space="preserve">PUBLIC OFFER </w:t>
      </w:r>
    </w:p>
    <w:p w14:paraId="79F36631" w14:textId="77777777" w:rsidR="00FE2873" w:rsidRPr="001C105A" w:rsidRDefault="00FE2873" w:rsidP="00FE2873">
      <w:pPr>
        <w:jc w:val="center"/>
        <w:rPr>
          <w:rFonts w:asciiTheme="minorHAnsi" w:eastAsia="Times New Roman" w:hAnsiTheme="minorHAnsi" w:cstheme="minorHAnsi"/>
          <w:b/>
          <w:bCs/>
          <w:sz w:val="22"/>
          <w:lang w:val="en-GB" w:eastAsia="el-GR"/>
        </w:rPr>
      </w:pPr>
      <w:bookmarkStart w:id="1" w:name="_Hlk64876882"/>
      <w:r w:rsidRPr="001C105A">
        <w:rPr>
          <w:rFonts w:asciiTheme="minorHAnsi" w:eastAsia="Times New Roman" w:hAnsiTheme="minorHAnsi" w:cstheme="minorHAnsi"/>
          <w:b/>
          <w:bCs/>
          <w:sz w:val="22"/>
          <w:lang w:val="en-GB" w:eastAsia="el-GR"/>
        </w:rPr>
        <w:t>FROM 14 JULY 2021 UNTIL (AND INCLUDING</w:t>
      </w:r>
      <w:r w:rsidRPr="001C105A">
        <w:rPr>
          <w:rFonts w:asciiTheme="minorHAnsi" w:eastAsia="Times New Roman" w:hAnsiTheme="minorHAnsi" w:cstheme="minorHAnsi"/>
          <w:b/>
          <w:bCs/>
          <w:sz w:val="22"/>
          <w:lang w:val="en-US" w:eastAsia="el-GR"/>
        </w:rPr>
        <w:t>)</w:t>
      </w:r>
      <w:r w:rsidRPr="001C105A">
        <w:rPr>
          <w:rFonts w:asciiTheme="minorHAnsi" w:eastAsia="Times New Roman" w:hAnsiTheme="minorHAnsi" w:cstheme="minorHAnsi"/>
          <w:b/>
          <w:bCs/>
          <w:sz w:val="22"/>
          <w:lang w:val="en-GB" w:eastAsia="el-GR"/>
        </w:rPr>
        <w:t xml:space="preserve"> 16 JULY 2021</w:t>
      </w:r>
    </w:p>
    <w:bookmarkEnd w:id="1"/>
    <w:p w14:paraId="0F80F142" w14:textId="039A6AE0" w:rsidR="005A631A" w:rsidRPr="005275EF" w:rsidRDefault="005A631A" w:rsidP="005A631A">
      <w:pPr>
        <w:spacing w:after="0" w:line="240" w:lineRule="auto"/>
        <w:jc w:val="center"/>
        <w:rPr>
          <w:rFonts w:asciiTheme="minorHAnsi" w:eastAsia="Times New Roman" w:hAnsiTheme="minorHAnsi" w:cstheme="minorHAnsi"/>
          <w:b/>
          <w:lang w:val="en-US" w:eastAsia="el-GR"/>
        </w:rPr>
      </w:pPr>
      <w:r w:rsidRPr="005275EF">
        <w:rPr>
          <w:rFonts w:asciiTheme="minorHAnsi" w:eastAsia="Times New Roman" w:hAnsiTheme="minorHAnsi" w:cstheme="minorHAnsi"/>
          <w:b/>
          <w:bCs/>
          <w:lang w:val="en-US" w:eastAsia="el-GR"/>
        </w:rPr>
        <w:t>YIELD RANGE</w:t>
      </w:r>
    </w:p>
    <w:p w14:paraId="60B42ABF" w14:textId="08C136C3" w:rsidR="005A631A" w:rsidRDefault="005275EF" w:rsidP="005A631A">
      <w:pPr>
        <w:spacing w:after="0" w:line="240" w:lineRule="auto"/>
        <w:jc w:val="center"/>
        <w:rPr>
          <w:rFonts w:asciiTheme="majorHAnsi" w:eastAsia="PMingLiU" w:hAnsiTheme="majorHAnsi" w:cstheme="majorHAnsi"/>
          <w:b/>
          <w:lang w:eastAsia="el-GR"/>
        </w:rPr>
      </w:pPr>
      <w:r>
        <w:rPr>
          <w:rFonts w:ascii="Times New Roman" w:eastAsia="PMingLiU" w:hAnsi="Times New Roman" w:cs="Times New Roman"/>
          <w:b/>
          <w:lang w:val="en-US" w:eastAsia="el-GR"/>
        </w:rPr>
        <w:t>2,20</w:t>
      </w:r>
      <w:r w:rsidR="005A631A" w:rsidRPr="00140584">
        <w:rPr>
          <w:rFonts w:asciiTheme="majorHAnsi" w:eastAsia="PMingLiU" w:hAnsiTheme="majorHAnsi" w:cstheme="majorHAnsi"/>
          <w:b/>
          <w:lang w:eastAsia="el-GR"/>
        </w:rPr>
        <w:t xml:space="preserve">% - </w:t>
      </w:r>
      <w:r>
        <w:rPr>
          <w:rFonts w:ascii="Times New Roman" w:eastAsia="PMingLiU" w:hAnsi="Times New Roman" w:cs="Times New Roman"/>
          <w:b/>
          <w:lang w:val="en-US" w:eastAsia="el-GR"/>
        </w:rPr>
        <w:t>2,60</w:t>
      </w:r>
      <w:r w:rsidR="005A631A" w:rsidRPr="00140584">
        <w:rPr>
          <w:rFonts w:asciiTheme="majorHAnsi" w:eastAsia="PMingLiU" w:hAnsiTheme="majorHAnsi" w:cstheme="majorHAnsi"/>
          <w:b/>
          <w:lang w:eastAsia="el-GR"/>
        </w:rPr>
        <w:t>%</w:t>
      </w:r>
    </w:p>
    <w:p w14:paraId="09A46362" w14:textId="77777777" w:rsidR="00FE2873" w:rsidRPr="001C105A" w:rsidRDefault="00FE2873" w:rsidP="00FE2873">
      <w:pPr>
        <w:jc w:val="center"/>
        <w:rPr>
          <w:rFonts w:asciiTheme="minorHAnsi" w:hAnsiTheme="minorHAnsi" w:cstheme="minorHAnsi"/>
          <w:b/>
          <w:bCs/>
          <w:sz w:val="22"/>
          <w:lang w:val="en-US"/>
        </w:rPr>
      </w:pPr>
    </w:p>
    <w:p w14:paraId="02856A91" w14:textId="77777777" w:rsidR="00FE2873" w:rsidRPr="001C105A" w:rsidRDefault="00FE2873" w:rsidP="00FE2873">
      <w:pPr>
        <w:jc w:val="center"/>
        <w:rPr>
          <w:rFonts w:asciiTheme="minorHAnsi" w:hAnsiTheme="minorHAnsi" w:cstheme="minorHAnsi"/>
          <w:b/>
          <w:bCs/>
          <w:sz w:val="22"/>
          <w:lang w:val="en-GB"/>
        </w:rPr>
      </w:pPr>
      <w:r w:rsidRPr="001C105A">
        <w:rPr>
          <w:rFonts w:asciiTheme="minorHAnsi" w:hAnsiTheme="minorHAnsi" w:cstheme="minorHAnsi"/>
          <w:b/>
          <w:bCs/>
          <w:sz w:val="22"/>
          <w:lang w:val="en-US"/>
        </w:rPr>
        <w:t xml:space="preserve">JOINT COORDINATORS AND BOOKRUNNERS </w:t>
      </w:r>
    </w:p>
    <w:p w14:paraId="5355E67C" w14:textId="77777777" w:rsidR="00FE2873" w:rsidRPr="001C105A" w:rsidRDefault="00FE2873" w:rsidP="00FE2873">
      <w:pPr>
        <w:spacing w:after="0" w:line="240" w:lineRule="auto"/>
        <w:jc w:val="center"/>
        <w:rPr>
          <w:rFonts w:asciiTheme="minorHAnsi" w:eastAsia="Cambria" w:hAnsiTheme="minorHAnsi" w:cstheme="minorHAnsi"/>
          <w:b/>
          <w:bCs/>
          <w:noProof/>
          <w:sz w:val="22"/>
          <w:lang w:val="en-US" w:eastAsia="el-GR"/>
        </w:rPr>
      </w:pPr>
      <w:r w:rsidRPr="001C105A">
        <w:rPr>
          <w:rFonts w:asciiTheme="minorHAnsi" w:eastAsia="Cambria" w:hAnsiTheme="minorHAnsi" w:cstheme="minorHAnsi"/>
          <w:b/>
          <w:bCs/>
          <w:noProof/>
          <w:sz w:val="22"/>
          <w:lang w:eastAsia="el-GR"/>
        </w:rPr>
        <w:drawing>
          <wp:anchor distT="0" distB="0" distL="114300" distR="114300" simplePos="0" relativeHeight="251659264" behindDoc="0" locked="0" layoutInCell="1" allowOverlap="1" wp14:anchorId="586F1BCD" wp14:editId="398A6549">
            <wp:simplePos x="0" y="0"/>
            <wp:positionH relativeFrom="margin">
              <wp:posOffset>2581910</wp:posOffset>
            </wp:positionH>
            <wp:positionV relativeFrom="paragraph">
              <wp:posOffset>402590</wp:posOffset>
            </wp:positionV>
            <wp:extent cx="1328400" cy="316800"/>
            <wp:effectExtent l="0" t="0" r="5715" b="7620"/>
            <wp:wrapThrough wrapText="bothSides">
              <wp:wrapPolygon edited="0">
                <wp:start x="0" y="0"/>
                <wp:lineTo x="0" y="20819"/>
                <wp:lineTo x="21383" y="20819"/>
                <wp:lineTo x="21383" y="0"/>
                <wp:lineTo x="0" y="0"/>
              </wp:wrapPolygon>
            </wp:wrapThrough>
            <wp:docPr id="7" name="Picture 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28400" cy="316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C105A">
        <w:rPr>
          <w:rFonts w:asciiTheme="minorHAnsi" w:eastAsia="Cambria" w:hAnsiTheme="minorHAnsi" w:cstheme="minorHAnsi"/>
          <w:b/>
          <w:bCs/>
          <w:noProof/>
          <w:sz w:val="22"/>
          <w:lang w:eastAsia="el-GR"/>
        </w:rPr>
        <w:drawing>
          <wp:anchor distT="0" distB="0" distL="114300" distR="114300" simplePos="0" relativeHeight="251660288" behindDoc="0" locked="0" layoutInCell="1" allowOverlap="1" wp14:anchorId="0D5C64E2" wp14:editId="2C96F0E5">
            <wp:simplePos x="0" y="0"/>
            <wp:positionH relativeFrom="column">
              <wp:posOffset>1130300</wp:posOffset>
            </wp:positionH>
            <wp:positionV relativeFrom="paragraph">
              <wp:posOffset>260350</wp:posOffset>
            </wp:positionV>
            <wp:extent cx="1029335" cy="561340"/>
            <wp:effectExtent l="0" t="0" r="0" b="0"/>
            <wp:wrapThrough wrapText="bothSides">
              <wp:wrapPolygon edited="0">
                <wp:start x="8100" y="0"/>
                <wp:lineTo x="4050" y="4127"/>
                <wp:lineTo x="4050" y="12382"/>
                <wp:lineTo x="0" y="15684"/>
                <wp:lineTo x="0" y="20637"/>
                <wp:lineTo x="21150" y="20637"/>
                <wp:lineTo x="21150" y="15684"/>
                <wp:lineTo x="17100" y="12382"/>
                <wp:lineTo x="17100" y="4127"/>
                <wp:lineTo x="13050" y="0"/>
                <wp:lineTo x="810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9335" cy="561340"/>
                    </a:xfrm>
                    <a:prstGeom prst="rect">
                      <a:avLst/>
                    </a:prstGeom>
                    <a:noFill/>
                  </pic:spPr>
                </pic:pic>
              </a:graphicData>
            </a:graphic>
            <wp14:sizeRelH relativeFrom="margin">
              <wp14:pctWidth>0</wp14:pctWidth>
            </wp14:sizeRelH>
            <wp14:sizeRelV relativeFrom="margin">
              <wp14:pctHeight>0</wp14:pctHeight>
            </wp14:sizeRelV>
          </wp:anchor>
        </w:drawing>
      </w:r>
      <w:r w:rsidRPr="001C105A">
        <w:rPr>
          <w:rFonts w:asciiTheme="minorHAnsi" w:eastAsia="Cambria" w:hAnsiTheme="minorHAnsi" w:cstheme="minorHAnsi"/>
          <w:b/>
          <w:bCs/>
          <w:noProof/>
          <w:sz w:val="22"/>
          <w:lang w:eastAsia="el-GR"/>
        </w:rPr>
        <w:drawing>
          <wp:anchor distT="0" distB="0" distL="114300" distR="114300" simplePos="0" relativeHeight="251661312" behindDoc="0" locked="0" layoutInCell="1" allowOverlap="1" wp14:anchorId="35A43CE9" wp14:editId="78C18790">
            <wp:simplePos x="0" y="0"/>
            <wp:positionH relativeFrom="column">
              <wp:posOffset>0</wp:posOffset>
            </wp:positionH>
            <wp:positionV relativeFrom="paragraph">
              <wp:posOffset>189865</wp:posOffset>
            </wp:positionV>
            <wp:extent cx="716400" cy="716400"/>
            <wp:effectExtent l="0" t="0" r="7620" b="7620"/>
            <wp:wrapThrough wrapText="bothSides">
              <wp:wrapPolygon edited="0">
                <wp:start x="0" y="0"/>
                <wp:lineTo x="0" y="21255"/>
                <wp:lineTo x="21255" y="21255"/>
                <wp:lineTo x="21255" y="0"/>
                <wp:lineTo x="0" y="0"/>
              </wp:wrapPolygon>
            </wp:wrapThrough>
            <wp:docPr id="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16400" cy="716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C105A">
        <w:rPr>
          <w:rFonts w:asciiTheme="minorHAnsi" w:eastAsia="Cambria" w:hAnsiTheme="minorHAnsi" w:cstheme="minorHAnsi"/>
          <w:b/>
          <w:bCs/>
          <w:noProof/>
          <w:sz w:val="22"/>
          <w:lang w:eastAsia="el-GR"/>
        </w:rPr>
        <w:drawing>
          <wp:anchor distT="0" distB="0" distL="114300" distR="114300" simplePos="0" relativeHeight="251662336" behindDoc="0" locked="0" layoutInCell="1" allowOverlap="1" wp14:anchorId="337AA61C" wp14:editId="03435153">
            <wp:simplePos x="0" y="0"/>
            <wp:positionH relativeFrom="column">
              <wp:posOffset>4303395</wp:posOffset>
            </wp:positionH>
            <wp:positionV relativeFrom="paragraph">
              <wp:posOffset>401955</wp:posOffset>
            </wp:positionV>
            <wp:extent cx="1141200" cy="324000"/>
            <wp:effectExtent l="0" t="0" r="1905" b="0"/>
            <wp:wrapThrough wrapText="bothSides">
              <wp:wrapPolygon edited="0">
                <wp:start x="0" y="0"/>
                <wp:lineTo x="0" y="20329"/>
                <wp:lineTo x="21275" y="20329"/>
                <wp:lineTo x="21275"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1200" cy="324000"/>
                    </a:xfrm>
                    <a:prstGeom prst="rect">
                      <a:avLst/>
                    </a:prstGeom>
                    <a:noFill/>
                  </pic:spPr>
                </pic:pic>
              </a:graphicData>
            </a:graphic>
            <wp14:sizeRelH relativeFrom="margin">
              <wp14:pctWidth>0</wp14:pctWidth>
            </wp14:sizeRelH>
            <wp14:sizeRelV relativeFrom="margin">
              <wp14:pctHeight>0</wp14:pctHeight>
            </wp14:sizeRelV>
          </wp:anchor>
        </w:drawing>
      </w:r>
      <w:r w:rsidRPr="001C105A">
        <w:rPr>
          <w:rFonts w:asciiTheme="minorHAnsi" w:eastAsia="Cambria" w:hAnsiTheme="minorHAnsi" w:cstheme="minorHAnsi"/>
          <w:b/>
          <w:bCs/>
          <w:noProof/>
          <w:sz w:val="22"/>
          <w:lang w:val="en-US" w:eastAsia="el-GR"/>
        </w:rPr>
        <w:t xml:space="preserve">              </w:t>
      </w:r>
    </w:p>
    <w:p w14:paraId="21780A87" w14:textId="77777777" w:rsidR="00FE2873" w:rsidRPr="001C105A" w:rsidRDefault="00FE2873" w:rsidP="00FE2873">
      <w:pPr>
        <w:spacing w:after="0" w:line="240" w:lineRule="auto"/>
        <w:jc w:val="center"/>
        <w:rPr>
          <w:rFonts w:asciiTheme="minorHAnsi" w:eastAsia="Cambria" w:hAnsiTheme="minorHAnsi" w:cstheme="minorHAnsi"/>
          <w:b/>
          <w:bCs/>
          <w:noProof/>
          <w:sz w:val="22"/>
          <w:lang w:val="en-US" w:eastAsia="el-GR"/>
        </w:rPr>
      </w:pPr>
    </w:p>
    <w:p w14:paraId="1538A19B" w14:textId="77777777" w:rsidR="00FE2873" w:rsidRPr="001C105A" w:rsidRDefault="00FE2873" w:rsidP="00FE2873">
      <w:pPr>
        <w:spacing w:after="0" w:line="240" w:lineRule="auto"/>
        <w:jc w:val="center"/>
        <w:rPr>
          <w:rFonts w:asciiTheme="minorHAnsi" w:eastAsia="PMingLiU" w:hAnsiTheme="minorHAnsi" w:cstheme="minorHAnsi"/>
          <w:b/>
          <w:sz w:val="22"/>
          <w:lang w:val="en-US" w:eastAsia="el-GR"/>
        </w:rPr>
      </w:pPr>
    </w:p>
    <w:p w14:paraId="389C7281" w14:textId="77777777" w:rsidR="00FE2873" w:rsidRPr="001C105A" w:rsidRDefault="00FE2873" w:rsidP="00FE2873">
      <w:pPr>
        <w:jc w:val="center"/>
        <w:rPr>
          <w:rFonts w:asciiTheme="minorHAnsi" w:hAnsiTheme="minorHAnsi" w:cstheme="minorHAnsi"/>
          <w:b/>
          <w:bCs/>
          <w:sz w:val="22"/>
          <w:lang w:val="en-US"/>
        </w:rPr>
      </w:pPr>
    </w:p>
    <w:p w14:paraId="64E1855E" w14:textId="77777777" w:rsidR="00FE2873" w:rsidRPr="001C105A" w:rsidRDefault="00FE2873" w:rsidP="00FE2873">
      <w:pPr>
        <w:rPr>
          <w:rFonts w:asciiTheme="minorHAnsi" w:hAnsiTheme="minorHAnsi" w:cstheme="minorHAnsi"/>
          <w:b/>
          <w:bCs/>
          <w:sz w:val="22"/>
          <w:lang w:val="en-US"/>
        </w:rPr>
      </w:pPr>
    </w:p>
    <w:p w14:paraId="3AC6646E" w14:textId="77777777" w:rsidR="00FE2873" w:rsidRPr="001C105A" w:rsidRDefault="00FE2873" w:rsidP="00FE2873">
      <w:pPr>
        <w:jc w:val="center"/>
        <w:rPr>
          <w:rFonts w:asciiTheme="minorHAnsi" w:hAnsiTheme="minorHAnsi" w:cstheme="minorHAnsi"/>
          <w:b/>
          <w:bCs/>
          <w:sz w:val="22"/>
          <w:lang w:val="en-US"/>
        </w:rPr>
      </w:pPr>
      <w:r w:rsidRPr="001C105A">
        <w:rPr>
          <w:rFonts w:asciiTheme="minorHAnsi" w:eastAsia="Calibri" w:hAnsiTheme="minorHAnsi" w:cstheme="minorHAnsi"/>
          <w:noProof/>
          <w:sz w:val="22"/>
          <w:lang w:eastAsia="el-GR"/>
        </w:rPr>
        <w:drawing>
          <wp:anchor distT="0" distB="0" distL="114300" distR="114300" simplePos="0" relativeHeight="251663360" behindDoc="1" locked="0" layoutInCell="1" allowOverlap="1" wp14:anchorId="489385C3" wp14:editId="5E7F74EA">
            <wp:simplePos x="0" y="0"/>
            <wp:positionH relativeFrom="column">
              <wp:posOffset>2886075</wp:posOffset>
            </wp:positionH>
            <wp:positionV relativeFrom="paragraph">
              <wp:posOffset>271145</wp:posOffset>
            </wp:positionV>
            <wp:extent cx="723900" cy="626110"/>
            <wp:effectExtent l="0" t="0" r="0" b="2540"/>
            <wp:wrapTight wrapText="bothSides">
              <wp:wrapPolygon edited="0">
                <wp:start x="0" y="0"/>
                <wp:lineTo x="0" y="21030"/>
                <wp:lineTo x="21032" y="21030"/>
                <wp:lineTo x="21032" y="0"/>
                <wp:lineTo x="0" y="0"/>
              </wp:wrapPolygon>
            </wp:wrapTight>
            <wp:docPr id="1" name="Picture 1" descr="C:\Users\kkatifori\AppData\Local\Microsoft\Windows\Temporary Internet Files\Content.Outlook\7HZYXRH7\Greek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6">
                      <a:extLst>
                        <a:ext uri="{28A0092B-C50C-407E-A947-70E740481C1C}">
                          <a14:useLocalDpi xmlns:a14="http://schemas.microsoft.com/office/drawing/2010/main" val="0"/>
                        </a:ext>
                      </a:extLst>
                    </a:blip>
                    <a:stretch>
                      <a:fillRect/>
                    </a:stretch>
                  </pic:blipFill>
                  <pic:spPr>
                    <a:xfrm>
                      <a:off x="0" y="0"/>
                      <a:ext cx="723900" cy="626110"/>
                    </a:xfrm>
                    <a:prstGeom prst="rect">
                      <a:avLst/>
                    </a:prstGeom>
                  </pic:spPr>
                </pic:pic>
              </a:graphicData>
            </a:graphic>
            <wp14:sizeRelH relativeFrom="page">
              <wp14:pctWidth>0</wp14:pctWidth>
            </wp14:sizeRelH>
            <wp14:sizeRelV relativeFrom="page">
              <wp14:pctHeight>0</wp14:pctHeight>
            </wp14:sizeRelV>
          </wp:anchor>
        </w:drawing>
      </w:r>
      <w:r w:rsidRPr="001C105A">
        <w:rPr>
          <w:rFonts w:asciiTheme="minorHAnsi" w:hAnsiTheme="minorHAnsi" w:cstheme="minorHAnsi"/>
          <w:b/>
          <w:bCs/>
          <w:sz w:val="22"/>
          <w:lang w:val="en-US"/>
        </w:rPr>
        <w:t>LEAD UNDERWRITERS</w:t>
      </w:r>
    </w:p>
    <w:p w14:paraId="68079E69" w14:textId="77777777" w:rsidR="00FE2873" w:rsidRPr="001C105A" w:rsidRDefault="00FE2873" w:rsidP="00FE2873">
      <w:pPr>
        <w:tabs>
          <w:tab w:val="left" w:pos="1710"/>
        </w:tabs>
        <w:spacing w:after="0" w:line="240" w:lineRule="auto"/>
        <w:ind w:left="1710" w:hanging="1710"/>
        <w:jc w:val="center"/>
        <w:rPr>
          <w:rFonts w:asciiTheme="minorHAnsi" w:eastAsia="PMingLiU" w:hAnsiTheme="minorHAnsi" w:cstheme="minorHAnsi"/>
          <w:b/>
          <w:sz w:val="22"/>
          <w:lang w:val="en-US" w:eastAsia="el-GR"/>
        </w:rPr>
      </w:pPr>
      <w:r w:rsidRPr="001C105A">
        <w:rPr>
          <w:rFonts w:asciiTheme="minorHAnsi" w:eastAsia="PMingLiU" w:hAnsiTheme="minorHAnsi" w:cstheme="minorHAnsi"/>
          <w:b/>
          <w:sz w:val="22"/>
          <w:lang w:val="en-US" w:eastAsia="el-GR"/>
        </w:rPr>
        <w:tab/>
      </w:r>
      <w:r w:rsidRPr="001C105A">
        <w:rPr>
          <w:rFonts w:asciiTheme="minorHAnsi" w:eastAsia="PMingLiU" w:hAnsiTheme="minorHAnsi" w:cstheme="minorHAnsi"/>
          <w:b/>
          <w:sz w:val="22"/>
          <w:lang w:val="en-US" w:eastAsia="el-GR"/>
        </w:rPr>
        <w:tab/>
      </w:r>
      <w:r w:rsidRPr="001C105A">
        <w:rPr>
          <w:rFonts w:asciiTheme="minorHAnsi" w:eastAsia="PMingLiU" w:hAnsiTheme="minorHAnsi" w:cstheme="minorHAnsi"/>
          <w:b/>
          <w:noProof/>
          <w:sz w:val="22"/>
          <w:lang w:eastAsia="el-GR"/>
        </w:rPr>
        <w:drawing>
          <wp:inline distT="0" distB="0" distL="0" distR="0" wp14:anchorId="5AB51524" wp14:editId="6FF8E1A3">
            <wp:extent cx="638175" cy="638175"/>
            <wp:effectExtent l="0" t="0" r="9525" b="9525"/>
            <wp:docPr id="2" name="Picture 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low confidenc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inline>
        </w:drawing>
      </w:r>
    </w:p>
    <w:p w14:paraId="075502CE" w14:textId="77777777" w:rsidR="00FE2873" w:rsidRPr="001C105A" w:rsidRDefault="00FE2873" w:rsidP="00FE2873">
      <w:pPr>
        <w:tabs>
          <w:tab w:val="left" w:pos="1710"/>
        </w:tabs>
        <w:spacing w:after="0" w:line="240" w:lineRule="auto"/>
        <w:ind w:left="1710" w:hanging="1710"/>
        <w:jc w:val="center"/>
        <w:rPr>
          <w:rFonts w:asciiTheme="minorHAnsi" w:eastAsia="PMingLiU" w:hAnsiTheme="minorHAnsi" w:cstheme="minorHAnsi"/>
          <w:b/>
          <w:sz w:val="22"/>
          <w:lang w:val="en-US" w:eastAsia="el-GR"/>
        </w:rPr>
      </w:pPr>
    </w:p>
    <w:p w14:paraId="63595873" w14:textId="77777777" w:rsidR="00FE2873" w:rsidRPr="001C105A" w:rsidRDefault="00FE2873" w:rsidP="00FE2873">
      <w:pPr>
        <w:tabs>
          <w:tab w:val="left" w:pos="1710"/>
        </w:tabs>
        <w:spacing w:after="0" w:line="240" w:lineRule="auto"/>
        <w:ind w:left="1710" w:hanging="1710"/>
        <w:jc w:val="center"/>
        <w:rPr>
          <w:rFonts w:asciiTheme="minorHAnsi" w:eastAsia="PMingLiU" w:hAnsiTheme="minorHAnsi" w:cstheme="minorHAnsi"/>
          <w:b/>
          <w:sz w:val="22"/>
          <w:lang w:val="en-US" w:eastAsia="el-GR"/>
        </w:rPr>
      </w:pPr>
    </w:p>
    <w:p w14:paraId="75A315C8" w14:textId="77777777" w:rsidR="00FE2873" w:rsidRPr="001C105A" w:rsidRDefault="00FE2873" w:rsidP="00FE2873">
      <w:pPr>
        <w:jc w:val="center"/>
        <w:rPr>
          <w:rFonts w:asciiTheme="minorHAnsi" w:hAnsiTheme="minorHAnsi" w:cstheme="minorHAnsi"/>
          <w:b/>
          <w:bCs/>
          <w:sz w:val="22"/>
          <w:lang w:val="en-US"/>
        </w:rPr>
      </w:pPr>
      <w:r w:rsidRPr="001C105A">
        <w:rPr>
          <w:rFonts w:asciiTheme="minorHAnsi" w:hAnsiTheme="minorHAnsi" w:cstheme="minorHAnsi"/>
          <w:b/>
          <w:bCs/>
          <w:sz w:val="22"/>
          <w:lang w:val="en-US"/>
        </w:rPr>
        <w:t>ISSUE ADVISORS</w:t>
      </w:r>
    </w:p>
    <w:p w14:paraId="0C8789FA" w14:textId="77777777" w:rsidR="00FE2873" w:rsidRPr="001C105A" w:rsidRDefault="00FE2873" w:rsidP="00FE2873">
      <w:pPr>
        <w:tabs>
          <w:tab w:val="left" w:pos="1710"/>
        </w:tabs>
        <w:spacing w:after="0" w:line="240" w:lineRule="auto"/>
        <w:ind w:left="1710" w:hanging="1710"/>
        <w:jc w:val="center"/>
        <w:rPr>
          <w:rFonts w:asciiTheme="minorHAnsi" w:eastAsia="PMingLiU" w:hAnsiTheme="minorHAnsi" w:cstheme="minorHAnsi"/>
          <w:b/>
          <w:noProof/>
          <w:sz w:val="22"/>
          <w:lang w:val="en-US" w:eastAsia="el-GR"/>
        </w:rPr>
      </w:pPr>
      <w:r w:rsidRPr="001C105A">
        <w:rPr>
          <w:rFonts w:asciiTheme="minorHAnsi" w:eastAsia="PMingLiU" w:hAnsiTheme="minorHAnsi" w:cstheme="minorHAnsi"/>
          <w:b/>
          <w:sz w:val="22"/>
          <w:lang w:val="en-US" w:eastAsia="el-GR"/>
        </w:rPr>
        <w:tab/>
      </w:r>
    </w:p>
    <w:p w14:paraId="46C4FA16" w14:textId="77777777" w:rsidR="00FE2873" w:rsidRPr="001C105A" w:rsidRDefault="00FE2873" w:rsidP="00FE2873">
      <w:pPr>
        <w:jc w:val="center"/>
        <w:rPr>
          <w:rFonts w:asciiTheme="minorHAnsi" w:hAnsiTheme="minorHAnsi" w:cstheme="minorHAnsi"/>
          <w:b/>
          <w:bCs/>
          <w:sz w:val="22"/>
          <w:lang w:val="en-US"/>
        </w:rPr>
      </w:pPr>
      <w:r w:rsidRPr="001C105A">
        <w:rPr>
          <w:rFonts w:asciiTheme="minorHAnsi" w:eastAsia="PMingLiU" w:hAnsiTheme="minorHAnsi" w:cstheme="minorHAnsi"/>
          <w:b/>
          <w:noProof/>
          <w:sz w:val="22"/>
          <w:lang w:eastAsia="el-GR"/>
        </w:rPr>
        <w:drawing>
          <wp:anchor distT="0" distB="0" distL="114300" distR="114300" simplePos="0" relativeHeight="251664384" behindDoc="0" locked="0" layoutInCell="1" allowOverlap="1" wp14:anchorId="39F52912" wp14:editId="0D355EF3">
            <wp:simplePos x="0" y="0"/>
            <wp:positionH relativeFrom="column">
              <wp:posOffset>2665730</wp:posOffset>
            </wp:positionH>
            <wp:positionV relativeFrom="paragraph">
              <wp:posOffset>67945</wp:posOffset>
            </wp:positionV>
            <wp:extent cx="1029335" cy="561340"/>
            <wp:effectExtent l="0" t="0" r="0" b="0"/>
            <wp:wrapThrough wrapText="bothSides">
              <wp:wrapPolygon edited="0">
                <wp:start x="9594" y="0"/>
                <wp:lineTo x="4797" y="2199"/>
                <wp:lineTo x="3998" y="8796"/>
                <wp:lineTo x="5197" y="13195"/>
                <wp:lineTo x="0" y="15394"/>
                <wp:lineTo x="0" y="20525"/>
                <wp:lineTo x="21187" y="20525"/>
                <wp:lineTo x="21187" y="16127"/>
                <wp:lineTo x="15990" y="13195"/>
                <wp:lineTo x="17589" y="8063"/>
                <wp:lineTo x="15590" y="2199"/>
                <wp:lineTo x="11593" y="0"/>
                <wp:lineTo x="9594"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9335" cy="561340"/>
                    </a:xfrm>
                    <a:prstGeom prst="rect">
                      <a:avLst/>
                    </a:prstGeom>
                    <a:noFill/>
                  </pic:spPr>
                </pic:pic>
              </a:graphicData>
            </a:graphic>
            <wp14:sizeRelH relativeFrom="margin">
              <wp14:pctWidth>0</wp14:pctWidth>
            </wp14:sizeRelH>
            <wp14:sizeRelV relativeFrom="margin">
              <wp14:pctHeight>0</wp14:pctHeight>
            </wp14:sizeRelV>
          </wp:anchor>
        </w:drawing>
      </w:r>
      <w:r w:rsidRPr="001C105A">
        <w:rPr>
          <w:rFonts w:asciiTheme="minorHAnsi" w:eastAsia="PMingLiU" w:hAnsiTheme="minorHAnsi" w:cstheme="minorHAnsi"/>
          <w:b/>
          <w:noProof/>
          <w:sz w:val="22"/>
          <w:lang w:eastAsia="el-GR"/>
        </w:rPr>
        <w:drawing>
          <wp:anchor distT="0" distB="0" distL="114300" distR="114300" simplePos="0" relativeHeight="251665408" behindDoc="0" locked="0" layoutInCell="1" allowOverlap="1" wp14:anchorId="538847B9" wp14:editId="2E346DEF">
            <wp:simplePos x="0" y="0"/>
            <wp:positionH relativeFrom="column">
              <wp:posOffset>1533525</wp:posOffset>
            </wp:positionH>
            <wp:positionV relativeFrom="paragraph">
              <wp:posOffset>3810</wp:posOffset>
            </wp:positionV>
            <wp:extent cx="716280" cy="716280"/>
            <wp:effectExtent l="0" t="0" r="7620" b="7620"/>
            <wp:wrapThrough wrapText="bothSides">
              <wp:wrapPolygon edited="0">
                <wp:start x="0" y="0"/>
                <wp:lineTo x="0" y="21255"/>
                <wp:lineTo x="21255" y="21255"/>
                <wp:lineTo x="21255" y="0"/>
                <wp:lineTo x="0" y="0"/>
              </wp:wrapPolygon>
            </wp:wrapThrough>
            <wp:docPr id="9"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DBAF5A9" w14:textId="77777777" w:rsidR="00FE2873" w:rsidRPr="001C105A" w:rsidRDefault="00FE2873" w:rsidP="00FE2873">
      <w:pPr>
        <w:jc w:val="center"/>
        <w:rPr>
          <w:rFonts w:asciiTheme="minorHAnsi" w:eastAsia="Cambria" w:hAnsiTheme="minorHAnsi" w:cstheme="minorHAnsi"/>
          <w:b/>
          <w:bCs/>
          <w:noProof/>
          <w:sz w:val="22"/>
          <w:lang w:val="en-US" w:eastAsia="el-GR"/>
        </w:rPr>
      </w:pPr>
      <w:r w:rsidRPr="001C105A">
        <w:rPr>
          <w:rFonts w:asciiTheme="minorHAnsi" w:hAnsiTheme="minorHAnsi" w:cstheme="minorHAnsi"/>
          <w:b/>
          <w:bCs/>
          <w:sz w:val="22"/>
          <w:lang w:val="en-US"/>
        </w:rPr>
        <w:tab/>
      </w:r>
    </w:p>
    <w:p w14:paraId="302A7F3B" w14:textId="77777777" w:rsidR="00A95843" w:rsidRPr="001C105A" w:rsidRDefault="00A95843" w:rsidP="005F33D2">
      <w:pPr>
        <w:jc w:val="center"/>
        <w:rPr>
          <w:rFonts w:asciiTheme="minorHAnsi" w:hAnsiTheme="minorHAnsi" w:cstheme="minorHAnsi"/>
          <w:b/>
          <w:bCs/>
          <w:sz w:val="22"/>
          <w:lang w:val="en-US"/>
        </w:rPr>
      </w:pPr>
    </w:p>
    <w:p w14:paraId="2E0B615B" w14:textId="629F7516" w:rsidR="005F33D2" w:rsidRPr="001C105A" w:rsidRDefault="00FB7442" w:rsidP="005F33D2">
      <w:pPr>
        <w:jc w:val="center"/>
        <w:rPr>
          <w:rFonts w:asciiTheme="minorHAnsi" w:eastAsia="Cambria" w:hAnsiTheme="minorHAnsi" w:cstheme="minorHAnsi"/>
          <w:b/>
          <w:bCs/>
          <w:noProof/>
          <w:sz w:val="22"/>
          <w:lang w:val="en-US" w:eastAsia="el-GR"/>
        </w:rPr>
      </w:pPr>
      <w:r w:rsidRPr="001C105A">
        <w:rPr>
          <w:rFonts w:asciiTheme="minorHAnsi" w:hAnsiTheme="minorHAnsi" w:cstheme="minorHAnsi"/>
          <w:b/>
          <w:bCs/>
          <w:sz w:val="22"/>
          <w:lang w:val="en-US"/>
        </w:rPr>
        <w:tab/>
      </w:r>
    </w:p>
    <w:p w14:paraId="1A5BA9AE" w14:textId="6F30CD76" w:rsidR="00856CEF" w:rsidRPr="001C105A" w:rsidRDefault="00856CEF" w:rsidP="005F33D2">
      <w:pPr>
        <w:jc w:val="center"/>
        <w:rPr>
          <w:rFonts w:asciiTheme="minorHAnsi" w:eastAsia="Cambria" w:hAnsiTheme="minorHAnsi" w:cstheme="minorHAnsi"/>
          <w:b/>
          <w:bCs/>
          <w:noProof/>
          <w:sz w:val="22"/>
          <w:lang w:val="en-US" w:eastAsia="el-GR"/>
        </w:rPr>
      </w:pPr>
    </w:p>
    <w:p w14:paraId="3E472D9D" w14:textId="4BADC2B7" w:rsidR="00856CEF" w:rsidRPr="001C105A" w:rsidRDefault="00856CEF" w:rsidP="005F33D2">
      <w:pPr>
        <w:jc w:val="center"/>
        <w:rPr>
          <w:rFonts w:asciiTheme="minorHAnsi" w:eastAsia="Cambria" w:hAnsiTheme="minorHAnsi" w:cstheme="minorHAnsi"/>
          <w:b/>
          <w:bCs/>
          <w:noProof/>
          <w:sz w:val="22"/>
          <w:lang w:val="en-US" w:eastAsia="el-GR"/>
        </w:rPr>
      </w:pPr>
    </w:p>
    <w:p w14:paraId="284CD9AE" w14:textId="74B9CD63" w:rsidR="00FE2873" w:rsidRPr="001C105A" w:rsidRDefault="00FE2873" w:rsidP="00FE2873">
      <w:pPr>
        <w:jc w:val="both"/>
        <w:rPr>
          <w:rFonts w:asciiTheme="minorHAnsi" w:hAnsiTheme="minorHAnsi" w:cstheme="minorHAnsi"/>
          <w:sz w:val="22"/>
          <w:lang w:val="en-US"/>
        </w:rPr>
      </w:pPr>
      <w:bookmarkStart w:id="2" w:name="_Hlk64877092"/>
      <w:r w:rsidRPr="001C105A">
        <w:rPr>
          <w:rFonts w:asciiTheme="minorHAnsi" w:hAnsiTheme="minorHAnsi" w:cstheme="minorHAnsi"/>
          <w:sz w:val="22"/>
          <w:lang w:val="en-US"/>
        </w:rPr>
        <w:t>By virtue of the decision of the Board of Directors of the company “</w:t>
      </w:r>
      <w:r w:rsidRPr="001C105A">
        <w:rPr>
          <w:rFonts w:asciiTheme="minorHAnsi" w:hAnsiTheme="minorHAnsi" w:cstheme="minorHAnsi"/>
          <w:b/>
          <w:bCs/>
          <w:sz w:val="22"/>
          <w:lang w:val="en-US"/>
        </w:rPr>
        <w:t>PRODEA REAL ESTATE INVESTMENT</w:t>
      </w:r>
      <w:r w:rsidR="0085551F">
        <w:rPr>
          <w:rFonts w:asciiTheme="minorHAnsi" w:hAnsiTheme="minorHAnsi" w:cstheme="minorHAnsi"/>
          <w:b/>
          <w:bCs/>
          <w:sz w:val="22"/>
          <w:lang w:val="en-US"/>
        </w:rPr>
        <w:t xml:space="preserve"> COMPANY </w:t>
      </w:r>
      <w:r w:rsidR="0085551F" w:rsidRPr="00954D9B">
        <w:rPr>
          <w:rFonts w:asciiTheme="minorHAnsi" w:hAnsiTheme="minorHAnsi" w:cstheme="minorHAnsi"/>
          <w:b/>
          <w:bCs/>
          <w:sz w:val="22"/>
          <w:lang w:val="en-US"/>
        </w:rPr>
        <w:t>SOCIÉTÉ ANONYME</w:t>
      </w:r>
      <w:r w:rsidRPr="001C105A">
        <w:rPr>
          <w:rFonts w:asciiTheme="minorHAnsi" w:hAnsiTheme="minorHAnsi" w:cstheme="minorHAnsi"/>
          <w:sz w:val="22"/>
          <w:lang w:val="en-US"/>
        </w:rPr>
        <w:t xml:space="preserve">” (“Issuer” or “Company”) dated </w:t>
      </w:r>
      <w:r w:rsidRPr="001C105A">
        <w:rPr>
          <w:rFonts w:asciiTheme="minorHAnsi" w:eastAsia="Times New Roman" w:hAnsiTheme="minorHAnsi" w:cstheme="minorHAnsi"/>
          <w:sz w:val="22"/>
          <w:lang w:val="en-US"/>
        </w:rPr>
        <w:t>02.07.2021</w:t>
      </w:r>
      <w:r w:rsidRPr="001C105A">
        <w:rPr>
          <w:rFonts w:asciiTheme="minorHAnsi" w:hAnsiTheme="minorHAnsi" w:cstheme="minorHAnsi"/>
          <w:sz w:val="22"/>
          <w:lang w:val="en-US"/>
        </w:rPr>
        <w:t xml:space="preserve">, the Issuer, among others, decided: </w:t>
      </w:r>
    </w:p>
    <w:p w14:paraId="2747AA60" w14:textId="77777777" w:rsidR="00FE2873" w:rsidRPr="001C105A" w:rsidRDefault="00FE2873" w:rsidP="00FE2873">
      <w:pPr>
        <w:jc w:val="both"/>
        <w:rPr>
          <w:rFonts w:asciiTheme="minorHAnsi" w:hAnsiTheme="minorHAnsi" w:cstheme="minorHAnsi"/>
          <w:sz w:val="22"/>
          <w:lang w:val="en-US"/>
        </w:rPr>
      </w:pPr>
      <w:r w:rsidRPr="001C105A">
        <w:rPr>
          <w:rFonts w:asciiTheme="minorHAnsi" w:hAnsiTheme="minorHAnsi" w:cstheme="minorHAnsi"/>
          <w:sz w:val="22"/>
          <w:lang w:val="en-US"/>
        </w:rPr>
        <w:t xml:space="preserve">(a) the issuance of a common bond loan by the Company (“Bond Loan” or “CBL”), by virtue of articles 59 -74 of Greek Law 4548/2018, as in force, the provisions of Greek Law 3156/2003 that remain in force, as well as Greek Law 3371/2005, for a total nominal amount of up to €300,000,000, with a duration of seven (7) years, divided into up to 300,000 dematerialized, common, bearer bonds, of a nominal value of €1,000 each (“Bonds”), as well as the approval of the specific terms of the Bond Loan, which constitute the CBL’s programme (“CBL Programme”), </w:t>
      </w:r>
    </w:p>
    <w:p w14:paraId="035FE744" w14:textId="77777777" w:rsidR="00FE2873" w:rsidRPr="001C105A" w:rsidRDefault="00FE2873" w:rsidP="00FE2873">
      <w:pPr>
        <w:jc w:val="both"/>
        <w:rPr>
          <w:rFonts w:asciiTheme="minorHAnsi" w:hAnsiTheme="minorHAnsi" w:cstheme="minorHAnsi"/>
          <w:sz w:val="22"/>
          <w:lang w:val="en-US"/>
        </w:rPr>
      </w:pPr>
      <w:r w:rsidRPr="001C105A">
        <w:rPr>
          <w:rFonts w:asciiTheme="minorHAnsi" w:hAnsiTheme="minorHAnsi" w:cstheme="minorHAnsi"/>
          <w:sz w:val="22"/>
          <w:lang w:val="en-US"/>
        </w:rPr>
        <w:t>(b) that the Bonds will be offered for subscription by investors by means of a public offer to the investment public in Greece, i.e. to professional and retail investors  for a period of three (3) business days, during which the CBL will be subscribed  (“Public Offer”), with use of the Electronic Book‐Building Service of the Athens Exchange (“E.BB.”), will be registered with the D.S.S. and will be admitted to trading in the category of Fixed Income Securities of the Regulated Market of the Athens Exchange (“ATHEX”),</w:t>
      </w:r>
    </w:p>
    <w:p w14:paraId="1137CCA2" w14:textId="77777777" w:rsidR="00FE2873" w:rsidRPr="001C105A" w:rsidRDefault="00FE2873" w:rsidP="00FE2873">
      <w:pPr>
        <w:jc w:val="both"/>
        <w:rPr>
          <w:rFonts w:asciiTheme="minorHAnsi" w:hAnsiTheme="minorHAnsi" w:cstheme="minorHAnsi"/>
          <w:sz w:val="22"/>
          <w:lang w:val="en-GB"/>
        </w:rPr>
      </w:pPr>
      <w:r w:rsidRPr="001C105A">
        <w:rPr>
          <w:rFonts w:asciiTheme="minorHAnsi" w:hAnsiTheme="minorHAnsi" w:cstheme="minorHAnsi"/>
          <w:sz w:val="22"/>
          <w:lang w:val="en-GB"/>
        </w:rPr>
        <w:t xml:space="preserve">(c) the offer price of each bond has been determined at par, i.e. </w:t>
      </w:r>
      <w:r w:rsidRPr="001C105A">
        <w:rPr>
          <w:rFonts w:asciiTheme="minorHAnsi" w:hAnsiTheme="minorHAnsi" w:cstheme="minorHAnsi"/>
          <w:sz w:val="22"/>
          <w:lang w:val="en-US"/>
        </w:rPr>
        <w:t>€</w:t>
      </w:r>
      <w:r w:rsidRPr="001C105A">
        <w:rPr>
          <w:rFonts w:asciiTheme="minorHAnsi" w:hAnsiTheme="minorHAnsi" w:cstheme="minorHAnsi"/>
          <w:sz w:val="22"/>
          <w:lang w:val="en-GB"/>
        </w:rPr>
        <w:t>1,000.</w:t>
      </w:r>
    </w:p>
    <w:p w14:paraId="24B22DC8" w14:textId="11E82211" w:rsidR="00FE2873" w:rsidRPr="001C105A" w:rsidRDefault="00FE2873" w:rsidP="00FE2873">
      <w:pPr>
        <w:jc w:val="both"/>
        <w:rPr>
          <w:rFonts w:asciiTheme="minorHAnsi" w:hAnsiTheme="minorHAnsi" w:cstheme="minorHAnsi"/>
          <w:sz w:val="22"/>
          <w:lang w:val="en-US"/>
        </w:rPr>
      </w:pPr>
      <w:r w:rsidRPr="001C105A">
        <w:rPr>
          <w:rFonts w:asciiTheme="minorHAnsi" w:hAnsiTheme="minorHAnsi" w:cstheme="minorHAnsi"/>
          <w:sz w:val="22"/>
          <w:lang w:val="en-US"/>
        </w:rPr>
        <w:t>If the CBL is not subscribed for an amount of at least €250,000,000, the issue of the Bond Loan will be cancelled and the amount corresponding to the value for subscription of each retail investor will be released at the latest within two (2) business days</w:t>
      </w:r>
      <w:r w:rsidR="00D77260" w:rsidRPr="00336705">
        <w:rPr>
          <w:rFonts w:asciiTheme="minorHAnsi" w:hAnsiTheme="minorHAnsi" w:cstheme="minorHAnsi"/>
          <w:sz w:val="22"/>
          <w:lang w:val="en-US"/>
        </w:rPr>
        <w:t>,</w:t>
      </w:r>
      <w:r w:rsidR="00D77260">
        <w:rPr>
          <w:rFonts w:asciiTheme="minorHAnsi" w:hAnsiTheme="minorHAnsi" w:cstheme="minorHAnsi"/>
          <w:sz w:val="22"/>
          <w:lang w:val="en-US"/>
        </w:rPr>
        <w:t xml:space="preserve"> interest-free</w:t>
      </w:r>
      <w:r w:rsidRPr="001C105A">
        <w:rPr>
          <w:rFonts w:asciiTheme="minorHAnsi" w:hAnsiTheme="minorHAnsi" w:cstheme="minorHAnsi"/>
          <w:sz w:val="22"/>
          <w:lang w:val="en-US"/>
        </w:rPr>
        <w:t>.</w:t>
      </w:r>
      <w:bookmarkEnd w:id="2"/>
      <w:r w:rsidRPr="001C105A">
        <w:rPr>
          <w:rFonts w:asciiTheme="minorHAnsi" w:hAnsiTheme="minorHAnsi" w:cstheme="minorHAnsi"/>
          <w:sz w:val="22"/>
          <w:lang w:val="en-US"/>
        </w:rPr>
        <w:t xml:space="preserve"> </w:t>
      </w:r>
    </w:p>
    <w:p w14:paraId="5560C452" w14:textId="1D054AD7" w:rsidR="008B1B9B" w:rsidRPr="001C105A" w:rsidRDefault="00D70031" w:rsidP="00CA146D">
      <w:pPr>
        <w:pStyle w:val="Heading1"/>
        <w:rPr>
          <w:rFonts w:asciiTheme="minorHAnsi" w:hAnsiTheme="minorHAnsi" w:cstheme="minorHAnsi"/>
        </w:rPr>
      </w:pPr>
      <w:r w:rsidRPr="001C105A">
        <w:rPr>
          <w:rFonts w:asciiTheme="minorHAnsi" w:hAnsiTheme="minorHAnsi" w:cstheme="minorHAnsi"/>
        </w:rPr>
        <w:t xml:space="preserve">DETERMINATION </w:t>
      </w:r>
      <w:r w:rsidR="005F33D2" w:rsidRPr="001C105A">
        <w:rPr>
          <w:rFonts w:asciiTheme="minorHAnsi" w:hAnsiTheme="minorHAnsi" w:cstheme="minorHAnsi"/>
        </w:rPr>
        <w:t>OF FINAL YIELD</w:t>
      </w:r>
      <w:r w:rsidR="000009C0" w:rsidRPr="001C105A">
        <w:rPr>
          <w:rFonts w:asciiTheme="minorHAnsi" w:hAnsiTheme="minorHAnsi" w:cstheme="minorHAnsi"/>
          <w:lang w:val="en-GB"/>
        </w:rPr>
        <w:t xml:space="preserve"> AND</w:t>
      </w:r>
      <w:r w:rsidR="005F33D2" w:rsidRPr="001C105A">
        <w:rPr>
          <w:rFonts w:asciiTheme="minorHAnsi" w:hAnsiTheme="minorHAnsi" w:cstheme="minorHAnsi"/>
        </w:rPr>
        <w:t xml:space="preserve"> INTEREST RATE OF THE BONDS </w:t>
      </w:r>
    </w:p>
    <w:p w14:paraId="3849D89F" w14:textId="2FC79FAC" w:rsidR="008F3F2A" w:rsidRPr="00F15A0E" w:rsidRDefault="008F3F2A" w:rsidP="008F3F2A">
      <w:pPr>
        <w:spacing w:line="240" w:lineRule="auto"/>
        <w:jc w:val="both"/>
        <w:rPr>
          <w:rFonts w:asciiTheme="minorHAnsi" w:hAnsiTheme="minorHAnsi" w:cstheme="minorHAnsi"/>
          <w:sz w:val="22"/>
          <w:lang w:val="en-US"/>
        </w:rPr>
      </w:pPr>
      <w:bookmarkStart w:id="3" w:name="_Hlk64877143"/>
      <w:r w:rsidRPr="001C105A">
        <w:rPr>
          <w:rFonts w:asciiTheme="minorHAnsi" w:hAnsiTheme="minorHAnsi" w:cstheme="minorHAnsi"/>
          <w:sz w:val="22"/>
          <w:lang w:val="en-US"/>
        </w:rPr>
        <w:t xml:space="preserve">The determination of the yield and the interest rate of the Bonds (“Interest Rate”) shall be effected by way of the </w:t>
      </w:r>
      <w:r w:rsidR="00FC6230" w:rsidRPr="001C105A">
        <w:rPr>
          <w:rFonts w:asciiTheme="minorHAnsi" w:hAnsiTheme="minorHAnsi" w:cstheme="minorHAnsi"/>
          <w:sz w:val="22"/>
          <w:lang w:val="en-US"/>
        </w:rPr>
        <w:t xml:space="preserve">(electronic) </w:t>
      </w:r>
      <w:r w:rsidRPr="001C105A">
        <w:rPr>
          <w:rFonts w:asciiTheme="minorHAnsi" w:hAnsiTheme="minorHAnsi" w:cstheme="minorHAnsi"/>
          <w:sz w:val="22"/>
          <w:lang w:val="en-US"/>
        </w:rPr>
        <w:t>book building</w:t>
      </w:r>
      <w:r w:rsidR="00D50F8D">
        <w:rPr>
          <w:rFonts w:asciiTheme="minorHAnsi" w:hAnsiTheme="minorHAnsi" w:cstheme="minorHAnsi"/>
          <w:sz w:val="22"/>
          <w:lang w:val="en-US"/>
        </w:rPr>
        <w:t xml:space="preserve"> process</w:t>
      </w:r>
      <w:r w:rsidRPr="001C105A">
        <w:rPr>
          <w:rFonts w:asciiTheme="minorHAnsi" w:hAnsiTheme="minorHAnsi" w:cstheme="minorHAnsi"/>
          <w:sz w:val="22"/>
          <w:lang w:val="en-US"/>
        </w:rPr>
        <w:t xml:space="preserve"> (“Book Building”), which shall be kept by the Joint Coordinators and Bookrunners. The Book Building will be conducted through the E.BB. process, in </w:t>
      </w:r>
      <w:r w:rsidRPr="00F15A0E">
        <w:rPr>
          <w:rFonts w:asciiTheme="minorHAnsi" w:hAnsiTheme="minorHAnsi" w:cstheme="minorHAnsi"/>
          <w:sz w:val="22"/>
          <w:lang w:val="en-US"/>
        </w:rPr>
        <w:t xml:space="preserve">which only Professional Investors may participate.  </w:t>
      </w:r>
    </w:p>
    <w:p w14:paraId="040819D7" w14:textId="72DE9016" w:rsidR="008F3F2A" w:rsidRPr="001C105A" w:rsidRDefault="008F3F2A" w:rsidP="008F3F2A">
      <w:pPr>
        <w:spacing w:line="240" w:lineRule="auto"/>
        <w:jc w:val="both"/>
        <w:rPr>
          <w:rFonts w:asciiTheme="minorHAnsi" w:hAnsiTheme="minorHAnsi" w:cstheme="minorHAnsi"/>
          <w:sz w:val="22"/>
          <w:lang w:val="en-US"/>
        </w:rPr>
      </w:pPr>
      <w:r w:rsidRPr="00F15A0E">
        <w:rPr>
          <w:rFonts w:asciiTheme="minorHAnsi" w:hAnsiTheme="minorHAnsi" w:cstheme="minorHAnsi"/>
          <w:sz w:val="22"/>
          <w:lang w:val="en-US"/>
        </w:rPr>
        <w:t xml:space="preserve">The </w:t>
      </w:r>
      <w:r w:rsidR="00F15A0E" w:rsidRPr="00F15A0E">
        <w:rPr>
          <w:rFonts w:asciiTheme="minorHAnsi" w:hAnsiTheme="minorHAnsi" w:cstheme="minorHAnsi"/>
          <w:sz w:val="22"/>
          <w:lang w:val="en-US"/>
        </w:rPr>
        <w:t xml:space="preserve">Interest Rate </w:t>
      </w:r>
      <w:r w:rsidR="00D50F8D" w:rsidRPr="00F15A0E">
        <w:rPr>
          <w:rFonts w:asciiTheme="minorHAnsi" w:hAnsiTheme="minorHAnsi" w:cstheme="minorHAnsi"/>
          <w:sz w:val="22"/>
          <w:lang w:val="en-US"/>
        </w:rPr>
        <w:t xml:space="preserve">and </w:t>
      </w:r>
      <w:r w:rsidRPr="00F15A0E">
        <w:rPr>
          <w:rFonts w:asciiTheme="minorHAnsi" w:hAnsiTheme="minorHAnsi" w:cstheme="minorHAnsi"/>
          <w:sz w:val="22"/>
          <w:lang w:val="en-US"/>
        </w:rPr>
        <w:t>final yield shall be determined by Joint Coordinators and Bookrunners</w:t>
      </w:r>
      <w:r w:rsidR="00D50F8D" w:rsidRPr="00F15A0E">
        <w:rPr>
          <w:rFonts w:asciiTheme="minorHAnsi" w:hAnsiTheme="minorHAnsi" w:cstheme="minorHAnsi"/>
          <w:sz w:val="22"/>
          <w:lang w:val="en-US"/>
        </w:rPr>
        <w:t>, via the E.BB process</w:t>
      </w:r>
      <w:bookmarkEnd w:id="3"/>
      <w:r w:rsidR="007A18A0" w:rsidRPr="00F15A0E">
        <w:rPr>
          <w:rFonts w:asciiTheme="minorHAnsi" w:hAnsiTheme="minorHAnsi" w:cstheme="minorHAnsi"/>
          <w:sz w:val="22"/>
          <w:lang w:val="en-US"/>
        </w:rPr>
        <w:t>, as further specified in the Prospectus</w:t>
      </w:r>
      <w:r w:rsidR="00D50F8D" w:rsidRPr="00F15A0E">
        <w:rPr>
          <w:rFonts w:asciiTheme="minorHAnsi" w:hAnsiTheme="minorHAnsi" w:cstheme="minorHAnsi"/>
          <w:sz w:val="22"/>
          <w:lang w:val="en-US"/>
        </w:rPr>
        <w:t xml:space="preserve"> approve</w:t>
      </w:r>
      <w:r w:rsidR="004379E1" w:rsidRPr="00F15A0E">
        <w:rPr>
          <w:rFonts w:asciiTheme="minorHAnsi" w:hAnsiTheme="minorHAnsi" w:cstheme="minorHAnsi"/>
          <w:sz w:val="22"/>
          <w:lang w:val="en-US"/>
        </w:rPr>
        <w:t>d</w:t>
      </w:r>
      <w:r w:rsidR="00D50F8D" w:rsidRPr="00F15A0E">
        <w:rPr>
          <w:rFonts w:asciiTheme="minorHAnsi" w:hAnsiTheme="minorHAnsi" w:cstheme="minorHAnsi"/>
          <w:sz w:val="22"/>
          <w:lang w:val="en-US"/>
        </w:rPr>
        <w:t xml:space="preserve"> on 09.07.2021</w:t>
      </w:r>
      <w:r w:rsidR="007A18A0" w:rsidRPr="00F15A0E">
        <w:rPr>
          <w:rFonts w:asciiTheme="minorHAnsi" w:hAnsiTheme="minorHAnsi" w:cstheme="minorHAnsi"/>
          <w:sz w:val="22"/>
          <w:lang w:val="en-US"/>
        </w:rPr>
        <w:t xml:space="preserve"> (</w:t>
      </w:r>
      <w:r w:rsidR="007A18A0" w:rsidRPr="00F15A0E">
        <w:rPr>
          <w:rFonts w:asciiTheme="minorHAnsi" w:hAnsiTheme="minorHAnsi" w:cstheme="minorHAnsi"/>
          <w:sz w:val="22"/>
          <w:lang w:val="en-GB"/>
        </w:rPr>
        <w:t>“Prospectus”)</w:t>
      </w:r>
      <w:r w:rsidR="007A18A0" w:rsidRPr="00F15A0E">
        <w:rPr>
          <w:rFonts w:asciiTheme="minorHAnsi" w:hAnsiTheme="minorHAnsi" w:cstheme="minorHAnsi"/>
          <w:sz w:val="22"/>
          <w:lang w:val="en-US"/>
        </w:rPr>
        <w:t xml:space="preserve">, and will be approved by persons authorized by the Board of Directors of the Company and announced </w:t>
      </w:r>
      <w:r w:rsidR="004379E1" w:rsidRPr="00F15A0E">
        <w:rPr>
          <w:rFonts w:asciiTheme="minorHAnsi" w:hAnsiTheme="minorHAnsi" w:cstheme="minorHAnsi"/>
          <w:sz w:val="22"/>
          <w:lang w:val="en-US"/>
        </w:rPr>
        <w:t>o</w:t>
      </w:r>
      <w:r w:rsidR="007A18A0" w:rsidRPr="00F15A0E">
        <w:rPr>
          <w:rFonts w:asciiTheme="minorHAnsi" w:hAnsiTheme="minorHAnsi" w:cstheme="minorHAnsi"/>
          <w:sz w:val="22"/>
          <w:lang w:val="en-US"/>
        </w:rPr>
        <w:t xml:space="preserve">n </w:t>
      </w:r>
      <w:r w:rsidR="008028AB" w:rsidRPr="00F15A0E">
        <w:rPr>
          <w:rFonts w:asciiTheme="minorHAnsi" w:hAnsiTheme="minorHAnsi" w:cstheme="minorHAnsi"/>
          <w:sz w:val="22"/>
          <w:lang w:val="en-US"/>
        </w:rPr>
        <w:t xml:space="preserve">the </w:t>
      </w:r>
      <w:r w:rsidR="007A18A0" w:rsidRPr="00F15A0E">
        <w:rPr>
          <w:rFonts w:asciiTheme="minorHAnsi" w:hAnsiTheme="minorHAnsi" w:cstheme="minorHAnsi"/>
          <w:sz w:val="22"/>
          <w:lang w:val="en-US"/>
        </w:rPr>
        <w:t>website</w:t>
      </w:r>
      <w:r w:rsidR="008028AB" w:rsidRPr="00F15A0E">
        <w:rPr>
          <w:rFonts w:asciiTheme="minorHAnsi" w:hAnsiTheme="minorHAnsi" w:cstheme="minorHAnsi"/>
          <w:sz w:val="22"/>
          <w:lang w:val="en-US"/>
        </w:rPr>
        <w:t xml:space="preserve"> of the Company and ATHEX</w:t>
      </w:r>
      <w:r w:rsidR="007A18A0" w:rsidRPr="00F15A0E">
        <w:rPr>
          <w:rFonts w:asciiTheme="minorHAnsi" w:hAnsiTheme="minorHAnsi" w:cstheme="minorHAnsi"/>
          <w:sz w:val="22"/>
          <w:lang w:val="en-US"/>
        </w:rPr>
        <w:t>, the next business day after the end of the Pubic Offer period</w:t>
      </w:r>
      <w:r w:rsidR="004379E1" w:rsidRPr="00F15A0E">
        <w:rPr>
          <w:rFonts w:asciiTheme="minorHAnsi" w:hAnsiTheme="minorHAnsi" w:cstheme="minorHAnsi"/>
          <w:sz w:val="22"/>
          <w:lang w:val="en-US"/>
        </w:rPr>
        <w:t xml:space="preserve"> at the latest</w:t>
      </w:r>
      <w:r w:rsidR="007A18A0" w:rsidRPr="00F15A0E">
        <w:rPr>
          <w:rFonts w:asciiTheme="minorHAnsi" w:hAnsiTheme="minorHAnsi" w:cstheme="minorHAnsi"/>
          <w:sz w:val="22"/>
          <w:lang w:val="en-US"/>
        </w:rPr>
        <w:t>.</w:t>
      </w:r>
    </w:p>
    <w:p w14:paraId="1F33C30A" w14:textId="24609056" w:rsidR="00287DD8" w:rsidRPr="001C105A" w:rsidRDefault="00287DD8" w:rsidP="00287DD8">
      <w:pPr>
        <w:jc w:val="both"/>
        <w:rPr>
          <w:rFonts w:asciiTheme="minorHAnsi" w:hAnsiTheme="minorHAnsi" w:cstheme="minorHAnsi"/>
          <w:sz w:val="22"/>
          <w:lang w:val="en-US"/>
        </w:rPr>
      </w:pPr>
      <w:r w:rsidRPr="001C105A">
        <w:rPr>
          <w:rFonts w:asciiTheme="minorHAnsi" w:hAnsiTheme="minorHAnsi" w:cstheme="minorHAnsi"/>
          <w:sz w:val="22"/>
          <w:lang w:val="en-US"/>
        </w:rPr>
        <w:t>The yield range, which was determined by the Joint Coordinators and Bookrunners, and within which Professional Investors shall submit subscription statements, reads as follows: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5"/>
        <w:gridCol w:w="4217"/>
      </w:tblGrid>
      <w:tr w:rsidR="00287DD8" w:rsidRPr="001C105A" w14:paraId="425A7852" w14:textId="77777777" w:rsidTr="007131D2">
        <w:tc>
          <w:tcPr>
            <w:tcW w:w="8640" w:type="dxa"/>
            <w:gridSpan w:val="2"/>
            <w:tcBorders>
              <w:top w:val="single" w:sz="4" w:space="0" w:color="auto"/>
              <w:left w:val="single" w:sz="4" w:space="0" w:color="auto"/>
              <w:bottom w:val="single" w:sz="4" w:space="0" w:color="auto"/>
              <w:right w:val="single" w:sz="4" w:space="0" w:color="auto"/>
            </w:tcBorders>
            <w:hideMark/>
          </w:tcPr>
          <w:p w14:paraId="1FCE247C" w14:textId="44EB6FA5" w:rsidR="00287DD8" w:rsidRPr="001C105A" w:rsidRDefault="00287DD8" w:rsidP="007131D2">
            <w:pPr>
              <w:spacing w:after="0" w:line="240" w:lineRule="auto"/>
              <w:jc w:val="center"/>
              <w:rPr>
                <w:rFonts w:asciiTheme="minorHAnsi" w:eastAsia="Times New Roman" w:hAnsiTheme="minorHAnsi" w:cstheme="minorHAnsi"/>
                <w:b/>
                <w:bCs/>
                <w:sz w:val="22"/>
                <w:lang w:val="en-GB" w:eastAsia="el-GR"/>
              </w:rPr>
            </w:pPr>
            <w:r w:rsidRPr="001C105A">
              <w:rPr>
                <w:rFonts w:asciiTheme="minorHAnsi" w:eastAsia="Times New Roman" w:hAnsiTheme="minorHAnsi" w:cstheme="minorHAnsi"/>
                <w:b/>
                <w:bCs/>
                <w:sz w:val="22"/>
                <w:lang w:eastAsia="el-GR"/>
              </w:rPr>
              <w:t>YIELD</w:t>
            </w:r>
            <w:r w:rsidR="004A2D7F" w:rsidRPr="001C105A">
              <w:rPr>
                <w:rFonts w:asciiTheme="minorHAnsi" w:eastAsia="Times New Roman" w:hAnsiTheme="minorHAnsi" w:cstheme="minorHAnsi"/>
                <w:b/>
                <w:bCs/>
                <w:sz w:val="22"/>
                <w:lang w:val="en-GB" w:eastAsia="el-GR"/>
              </w:rPr>
              <w:t xml:space="preserve"> RANGE</w:t>
            </w:r>
          </w:p>
        </w:tc>
      </w:tr>
      <w:tr w:rsidR="00287DD8" w:rsidRPr="001C105A" w14:paraId="0C43F572" w14:textId="77777777" w:rsidTr="007131D2">
        <w:tc>
          <w:tcPr>
            <w:tcW w:w="4365" w:type="dxa"/>
            <w:tcBorders>
              <w:top w:val="single" w:sz="4" w:space="0" w:color="auto"/>
              <w:left w:val="single" w:sz="4" w:space="0" w:color="auto"/>
              <w:bottom w:val="single" w:sz="4" w:space="0" w:color="auto"/>
              <w:right w:val="single" w:sz="4" w:space="0" w:color="auto"/>
            </w:tcBorders>
            <w:hideMark/>
          </w:tcPr>
          <w:p w14:paraId="23C6C260" w14:textId="77777777" w:rsidR="00287DD8" w:rsidRPr="001C105A" w:rsidRDefault="00287DD8" w:rsidP="007131D2">
            <w:pPr>
              <w:spacing w:after="0" w:line="240" w:lineRule="auto"/>
              <w:jc w:val="center"/>
              <w:rPr>
                <w:rFonts w:asciiTheme="minorHAnsi" w:eastAsia="Times New Roman" w:hAnsiTheme="minorHAnsi" w:cstheme="minorHAnsi"/>
                <w:b/>
                <w:bCs/>
                <w:sz w:val="22"/>
                <w:lang w:eastAsia="el-GR"/>
              </w:rPr>
            </w:pPr>
            <w:r w:rsidRPr="001C105A">
              <w:rPr>
                <w:rFonts w:asciiTheme="minorHAnsi" w:eastAsia="Times New Roman" w:hAnsiTheme="minorHAnsi" w:cstheme="minorHAnsi"/>
                <w:b/>
                <w:bCs/>
                <w:sz w:val="22"/>
                <w:lang w:eastAsia="el-GR"/>
              </w:rPr>
              <w:t>Minimum Yield</w:t>
            </w:r>
          </w:p>
        </w:tc>
        <w:tc>
          <w:tcPr>
            <w:tcW w:w="4275" w:type="dxa"/>
            <w:tcBorders>
              <w:top w:val="single" w:sz="4" w:space="0" w:color="auto"/>
              <w:left w:val="single" w:sz="4" w:space="0" w:color="auto"/>
              <w:bottom w:val="single" w:sz="4" w:space="0" w:color="auto"/>
              <w:right w:val="single" w:sz="4" w:space="0" w:color="auto"/>
            </w:tcBorders>
            <w:hideMark/>
          </w:tcPr>
          <w:p w14:paraId="1B1B9586" w14:textId="77777777" w:rsidR="00287DD8" w:rsidRPr="001C105A" w:rsidRDefault="00287DD8" w:rsidP="007131D2">
            <w:pPr>
              <w:spacing w:after="0" w:line="240" w:lineRule="auto"/>
              <w:jc w:val="center"/>
              <w:rPr>
                <w:rFonts w:asciiTheme="minorHAnsi" w:eastAsia="Times New Roman" w:hAnsiTheme="minorHAnsi" w:cstheme="minorHAnsi"/>
                <w:b/>
                <w:bCs/>
                <w:sz w:val="22"/>
                <w:lang w:val="en-US" w:eastAsia="el-GR"/>
              </w:rPr>
            </w:pPr>
            <w:r w:rsidRPr="001C105A">
              <w:rPr>
                <w:rFonts w:asciiTheme="minorHAnsi" w:eastAsia="Times New Roman" w:hAnsiTheme="minorHAnsi" w:cstheme="minorHAnsi"/>
                <w:b/>
                <w:bCs/>
                <w:sz w:val="22"/>
                <w:lang w:val="en-US" w:eastAsia="el-GR"/>
              </w:rPr>
              <w:t>Maximum Yield</w:t>
            </w:r>
          </w:p>
        </w:tc>
      </w:tr>
      <w:tr w:rsidR="00287DD8" w:rsidRPr="005275EF" w14:paraId="4A836AA2" w14:textId="77777777" w:rsidTr="007131D2">
        <w:tc>
          <w:tcPr>
            <w:tcW w:w="4365" w:type="dxa"/>
            <w:tcBorders>
              <w:top w:val="single" w:sz="4" w:space="0" w:color="auto"/>
              <w:left w:val="single" w:sz="4" w:space="0" w:color="auto"/>
              <w:bottom w:val="single" w:sz="4" w:space="0" w:color="auto"/>
              <w:right w:val="single" w:sz="4" w:space="0" w:color="auto"/>
            </w:tcBorders>
          </w:tcPr>
          <w:p w14:paraId="262BDFFF" w14:textId="161911F3" w:rsidR="00287DD8" w:rsidRPr="005275EF" w:rsidRDefault="005275EF" w:rsidP="007131D2">
            <w:pPr>
              <w:spacing w:after="0" w:line="240" w:lineRule="auto"/>
              <w:jc w:val="center"/>
              <w:rPr>
                <w:rFonts w:asciiTheme="minorHAnsi" w:eastAsia="Times New Roman" w:hAnsiTheme="minorHAnsi" w:cstheme="minorHAnsi"/>
                <w:b/>
                <w:bCs/>
                <w:sz w:val="22"/>
                <w:lang w:val="en-US" w:eastAsia="el-GR"/>
              </w:rPr>
            </w:pPr>
            <w:r w:rsidRPr="005275EF">
              <w:rPr>
                <w:rFonts w:asciiTheme="minorHAnsi" w:eastAsia="Times New Roman" w:hAnsiTheme="minorHAnsi" w:cstheme="minorHAnsi"/>
                <w:b/>
                <w:bCs/>
                <w:sz w:val="22"/>
                <w:lang w:val="en-US" w:eastAsia="el-GR"/>
              </w:rPr>
              <w:t>2,20</w:t>
            </w:r>
            <w:r w:rsidR="00287DD8" w:rsidRPr="005275EF">
              <w:rPr>
                <w:rFonts w:asciiTheme="minorHAnsi" w:eastAsia="Times New Roman" w:hAnsiTheme="minorHAnsi" w:cstheme="minorHAnsi"/>
                <w:b/>
                <w:bCs/>
                <w:sz w:val="22"/>
                <w:lang w:val="en-US" w:eastAsia="el-GR"/>
              </w:rPr>
              <w:t>%</w:t>
            </w:r>
          </w:p>
        </w:tc>
        <w:tc>
          <w:tcPr>
            <w:tcW w:w="4275" w:type="dxa"/>
            <w:tcBorders>
              <w:top w:val="single" w:sz="4" w:space="0" w:color="auto"/>
              <w:left w:val="single" w:sz="4" w:space="0" w:color="auto"/>
              <w:bottom w:val="single" w:sz="4" w:space="0" w:color="auto"/>
              <w:right w:val="single" w:sz="4" w:space="0" w:color="auto"/>
            </w:tcBorders>
          </w:tcPr>
          <w:p w14:paraId="7C3CFB58" w14:textId="01772F19" w:rsidR="00287DD8" w:rsidRPr="005275EF" w:rsidRDefault="005275EF" w:rsidP="007131D2">
            <w:pPr>
              <w:spacing w:after="0" w:line="240" w:lineRule="auto"/>
              <w:jc w:val="center"/>
              <w:rPr>
                <w:rFonts w:asciiTheme="minorHAnsi" w:eastAsia="Times New Roman" w:hAnsiTheme="minorHAnsi" w:cstheme="minorHAnsi"/>
                <w:b/>
                <w:bCs/>
                <w:sz w:val="22"/>
                <w:lang w:val="en-US" w:eastAsia="el-GR"/>
              </w:rPr>
            </w:pPr>
            <w:r w:rsidRPr="005275EF">
              <w:rPr>
                <w:rFonts w:asciiTheme="minorHAnsi" w:eastAsia="Times New Roman" w:hAnsiTheme="minorHAnsi" w:cstheme="minorHAnsi"/>
                <w:b/>
                <w:bCs/>
                <w:sz w:val="22"/>
                <w:lang w:val="en-US" w:eastAsia="el-GR"/>
              </w:rPr>
              <w:t>2,60</w:t>
            </w:r>
            <w:r w:rsidR="00287DD8" w:rsidRPr="005275EF">
              <w:rPr>
                <w:rFonts w:asciiTheme="minorHAnsi" w:eastAsia="Times New Roman" w:hAnsiTheme="minorHAnsi" w:cstheme="minorHAnsi"/>
                <w:b/>
                <w:bCs/>
                <w:sz w:val="22"/>
                <w:lang w:val="en-US" w:eastAsia="el-GR"/>
              </w:rPr>
              <w:t>%</w:t>
            </w:r>
          </w:p>
        </w:tc>
      </w:tr>
    </w:tbl>
    <w:p w14:paraId="62806D13" w14:textId="77777777" w:rsidR="00287DD8" w:rsidRPr="001C105A" w:rsidRDefault="00287DD8" w:rsidP="008F3F2A">
      <w:pPr>
        <w:spacing w:line="240" w:lineRule="auto"/>
        <w:jc w:val="both"/>
        <w:rPr>
          <w:rFonts w:asciiTheme="minorHAnsi" w:hAnsiTheme="minorHAnsi" w:cstheme="minorHAnsi"/>
          <w:sz w:val="22"/>
        </w:rPr>
      </w:pPr>
    </w:p>
    <w:p w14:paraId="77D717C5" w14:textId="0372DCEC" w:rsidR="008F3F2A" w:rsidRPr="001C105A" w:rsidRDefault="008F3F2A" w:rsidP="008F3F2A">
      <w:pPr>
        <w:spacing w:line="240" w:lineRule="auto"/>
        <w:jc w:val="both"/>
        <w:rPr>
          <w:rFonts w:asciiTheme="minorHAnsi" w:hAnsiTheme="minorHAnsi" w:cstheme="minorHAnsi"/>
          <w:sz w:val="22"/>
          <w:lang w:val="en-US"/>
        </w:rPr>
      </w:pPr>
      <w:r w:rsidRPr="001C105A">
        <w:rPr>
          <w:rFonts w:asciiTheme="minorHAnsi" w:hAnsiTheme="minorHAnsi" w:cstheme="minorHAnsi"/>
          <w:sz w:val="22"/>
          <w:lang w:val="en-US"/>
        </w:rPr>
        <w:t>The final yield</w:t>
      </w:r>
      <w:r w:rsidR="006467D8" w:rsidRPr="001C105A">
        <w:rPr>
          <w:rFonts w:asciiTheme="minorHAnsi" w:hAnsiTheme="minorHAnsi" w:cstheme="minorHAnsi"/>
          <w:sz w:val="22"/>
          <w:lang w:val="en-US"/>
        </w:rPr>
        <w:t xml:space="preserve"> </w:t>
      </w:r>
      <w:r w:rsidR="006467D8" w:rsidRPr="001C105A">
        <w:rPr>
          <w:rFonts w:asciiTheme="minorHAnsi" w:hAnsiTheme="minorHAnsi" w:cstheme="minorHAnsi"/>
          <w:sz w:val="22"/>
          <w:lang w:val="en-GB"/>
        </w:rPr>
        <w:t>and</w:t>
      </w:r>
      <w:r w:rsidRPr="001C105A">
        <w:rPr>
          <w:rFonts w:asciiTheme="minorHAnsi" w:hAnsiTheme="minorHAnsi" w:cstheme="minorHAnsi"/>
          <w:sz w:val="22"/>
          <w:lang w:val="en-US"/>
        </w:rPr>
        <w:t xml:space="preserve"> Interest Rate shall be notified to the Hellenic Capital Markets Commission and published on the website of the Issuer and ATHEX, on the next business day following the completion of the Public Offer</w:t>
      </w:r>
      <w:r w:rsidR="008028AB">
        <w:rPr>
          <w:rFonts w:asciiTheme="minorHAnsi" w:hAnsiTheme="minorHAnsi" w:cstheme="minorHAnsi"/>
          <w:sz w:val="22"/>
          <w:lang w:val="en-US"/>
        </w:rPr>
        <w:t xml:space="preserve"> </w:t>
      </w:r>
      <w:r w:rsidR="008028AB" w:rsidRPr="001C105A">
        <w:rPr>
          <w:rFonts w:asciiTheme="minorHAnsi" w:hAnsiTheme="minorHAnsi" w:cstheme="minorHAnsi"/>
          <w:sz w:val="22"/>
          <w:lang w:val="en-US"/>
        </w:rPr>
        <w:t>at the latest</w:t>
      </w:r>
      <w:r w:rsidRPr="001C105A">
        <w:rPr>
          <w:rFonts w:asciiTheme="minorHAnsi" w:hAnsiTheme="minorHAnsi" w:cstheme="minorHAnsi"/>
          <w:sz w:val="22"/>
          <w:lang w:val="en-US"/>
        </w:rPr>
        <w:t xml:space="preserve">. </w:t>
      </w:r>
      <w:bookmarkStart w:id="4" w:name="_GoBack"/>
      <w:bookmarkEnd w:id="4"/>
    </w:p>
    <w:p w14:paraId="11B7E292" w14:textId="500F4BE1" w:rsidR="008F3F2A" w:rsidRPr="001C105A" w:rsidRDefault="008F3F2A" w:rsidP="008F3F2A">
      <w:pPr>
        <w:spacing w:line="240" w:lineRule="auto"/>
        <w:jc w:val="both"/>
        <w:rPr>
          <w:rFonts w:asciiTheme="minorHAnsi" w:hAnsiTheme="minorHAnsi" w:cstheme="minorHAnsi"/>
          <w:sz w:val="22"/>
          <w:lang w:val="en-US"/>
        </w:rPr>
      </w:pPr>
      <w:r w:rsidRPr="001C105A">
        <w:rPr>
          <w:rFonts w:asciiTheme="minorHAnsi" w:hAnsiTheme="minorHAnsi" w:cstheme="minorHAnsi"/>
          <w:sz w:val="22"/>
          <w:lang w:val="en-US"/>
        </w:rPr>
        <w:lastRenderedPageBreak/>
        <w:t>The criteria and conditions</w:t>
      </w:r>
      <w:r w:rsidR="00432D3C">
        <w:rPr>
          <w:rFonts w:asciiTheme="minorHAnsi" w:hAnsiTheme="minorHAnsi" w:cstheme="minorHAnsi"/>
          <w:sz w:val="22"/>
          <w:lang w:val="en-US"/>
        </w:rPr>
        <w:t>,</w:t>
      </w:r>
      <w:r w:rsidRPr="001C105A">
        <w:rPr>
          <w:rFonts w:asciiTheme="minorHAnsi" w:hAnsiTheme="minorHAnsi" w:cstheme="minorHAnsi"/>
          <w:sz w:val="22"/>
          <w:lang w:val="en-US"/>
        </w:rPr>
        <w:t xml:space="preserve"> on the basis of which the final yield</w:t>
      </w:r>
      <w:r w:rsidR="006467D8" w:rsidRPr="001C105A">
        <w:rPr>
          <w:rFonts w:asciiTheme="minorHAnsi" w:hAnsiTheme="minorHAnsi" w:cstheme="minorHAnsi"/>
          <w:sz w:val="22"/>
          <w:lang w:val="en-GB"/>
        </w:rPr>
        <w:t xml:space="preserve"> and</w:t>
      </w:r>
      <w:r w:rsidRPr="001C105A">
        <w:rPr>
          <w:rFonts w:asciiTheme="minorHAnsi" w:hAnsiTheme="minorHAnsi" w:cstheme="minorHAnsi"/>
          <w:sz w:val="22"/>
          <w:lang w:val="en-US"/>
        </w:rPr>
        <w:t xml:space="preserve"> Interest Rate shall be determined, include bond market conditions, the volume of demand per yield by Professional Investors, the volume and type of Professional Investors, the volume of demand by Retail Investors (to the extent that the final allotment to them will exceed the minimum allotment percentage of 30%), as well as the loan service cost that the Issuer is willing to undertake in connection to the </w:t>
      </w:r>
      <w:r w:rsidR="00D70031" w:rsidRPr="001C105A">
        <w:rPr>
          <w:rFonts w:asciiTheme="minorHAnsi" w:hAnsiTheme="minorHAnsi" w:cstheme="minorHAnsi"/>
          <w:sz w:val="22"/>
          <w:lang w:val="en-US"/>
        </w:rPr>
        <w:t xml:space="preserve">issuance of the </w:t>
      </w:r>
      <w:r w:rsidRPr="001C105A">
        <w:rPr>
          <w:rFonts w:asciiTheme="minorHAnsi" w:hAnsiTheme="minorHAnsi" w:cstheme="minorHAnsi"/>
          <w:sz w:val="22"/>
          <w:lang w:val="en-US"/>
        </w:rPr>
        <w:t xml:space="preserve">bonds. </w:t>
      </w:r>
    </w:p>
    <w:p w14:paraId="122B7635" w14:textId="6A20D98C" w:rsidR="008F3F2A" w:rsidRPr="001C105A" w:rsidRDefault="008F3F2A" w:rsidP="008F3F2A">
      <w:pPr>
        <w:spacing w:line="240" w:lineRule="auto"/>
        <w:jc w:val="both"/>
        <w:rPr>
          <w:rFonts w:asciiTheme="minorHAnsi" w:hAnsiTheme="minorHAnsi" w:cstheme="minorHAnsi"/>
          <w:sz w:val="22"/>
          <w:lang w:val="en-US"/>
        </w:rPr>
      </w:pPr>
      <w:r w:rsidRPr="001C105A">
        <w:rPr>
          <w:rFonts w:asciiTheme="minorHAnsi" w:hAnsiTheme="minorHAnsi" w:cstheme="minorHAnsi"/>
          <w:sz w:val="22"/>
          <w:lang w:val="en-US"/>
        </w:rPr>
        <w:t>Indicatively, if the demand by Professional Investors covers the Bond Loan up to the high end of the yield range</w:t>
      </w:r>
      <w:r w:rsidR="003D1BC8">
        <w:rPr>
          <w:rFonts w:asciiTheme="minorHAnsi" w:hAnsiTheme="minorHAnsi" w:cstheme="minorHAnsi"/>
          <w:sz w:val="22"/>
          <w:lang w:val="en-US"/>
        </w:rPr>
        <w:t>,</w:t>
      </w:r>
      <w:r w:rsidRPr="001C105A">
        <w:rPr>
          <w:rFonts w:asciiTheme="minorHAnsi" w:hAnsiTheme="minorHAnsi" w:cstheme="minorHAnsi"/>
          <w:sz w:val="22"/>
          <w:lang w:val="en-US"/>
        </w:rPr>
        <w:t xml:space="preserve"> </w:t>
      </w:r>
      <w:r w:rsidR="003D1BC8">
        <w:rPr>
          <w:rFonts w:asciiTheme="minorHAnsi" w:hAnsiTheme="minorHAnsi" w:cstheme="minorHAnsi"/>
          <w:sz w:val="22"/>
          <w:lang w:val="en-US"/>
        </w:rPr>
        <w:t>while</w:t>
      </w:r>
      <w:r w:rsidR="003D1BC8" w:rsidRPr="001C105A">
        <w:rPr>
          <w:rFonts w:asciiTheme="minorHAnsi" w:hAnsiTheme="minorHAnsi" w:cstheme="minorHAnsi"/>
          <w:sz w:val="22"/>
          <w:lang w:val="en-US"/>
        </w:rPr>
        <w:t xml:space="preserve"> </w:t>
      </w:r>
      <w:r w:rsidRPr="001C105A">
        <w:rPr>
          <w:rFonts w:asciiTheme="minorHAnsi" w:hAnsiTheme="minorHAnsi" w:cstheme="minorHAnsi"/>
          <w:sz w:val="22"/>
          <w:lang w:val="en-US"/>
        </w:rPr>
        <w:t xml:space="preserve">at the same time a material part of the Issue is subscribed at a lower level of yield, the lower level may be selected, even if it would result in a </w:t>
      </w:r>
      <w:r w:rsidR="003D1BC8">
        <w:rPr>
          <w:rFonts w:asciiTheme="minorHAnsi" w:hAnsiTheme="minorHAnsi" w:cstheme="minorHAnsi"/>
          <w:sz w:val="22"/>
          <w:lang w:val="en-US"/>
        </w:rPr>
        <w:t>lower</w:t>
      </w:r>
      <w:r w:rsidR="003D1BC8" w:rsidRPr="001C105A">
        <w:rPr>
          <w:rFonts w:asciiTheme="minorHAnsi" w:hAnsiTheme="minorHAnsi" w:cstheme="minorHAnsi"/>
          <w:sz w:val="22"/>
          <w:lang w:val="en-US"/>
        </w:rPr>
        <w:t xml:space="preserve"> </w:t>
      </w:r>
      <w:r w:rsidRPr="001C105A">
        <w:rPr>
          <w:rFonts w:asciiTheme="minorHAnsi" w:hAnsiTheme="minorHAnsi" w:cstheme="minorHAnsi"/>
          <w:sz w:val="22"/>
          <w:lang w:val="en-US"/>
        </w:rPr>
        <w:t xml:space="preserve">amount of capital raised, and subject to the fulfilment of the condition for the issue of the Bonds. </w:t>
      </w:r>
    </w:p>
    <w:p w14:paraId="28629397" w14:textId="3F01F5AF" w:rsidR="008F3F2A" w:rsidRPr="001C105A" w:rsidRDefault="008F3F2A" w:rsidP="008F3F2A">
      <w:pPr>
        <w:spacing w:line="240" w:lineRule="auto"/>
        <w:jc w:val="both"/>
        <w:rPr>
          <w:rFonts w:asciiTheme="minorHAnsi" w:hAnsiTheme="minorHAnsi" w:cstheme="minorHAnsi"/>
          <w:sz w:val="22"/>
          <w:lang w:val="en-US"/>
        </w:rPr>
      </w:pPr>
      <w:r w:rsidRPr="001C105A">
        <w:rPr>
          <w:rFonts w:asciiTheme="minorHAnsi" w:hAnsiTheme="minorHAnsi" w:cstheme="minorHAnsi"/>
          <w:sz w:val="22"/>
          <w:lang w:val="en-US"/>
        </w:rPr>
        <w:t xml:space="preserve">Concurrently with the determination of the </w:t>
      </w:r>
      <w:r w:rsidR="003D1BC8">
        <w:rPr>
          <w:rFonts w:asciiTheme="minorHAnsi" w:hAnsiTheme="minorHAnsi" w:cstheme="minorHAnsi"/>
          <w:sz w:val="22"/>
          <w:lang w:val="en-US"/>
        </w:rPr>
        <w:t>f</w:t>
      </w:r>
      <w:r w:rsidRPr="001C105A">
        <w:rPr>
          <w:rFonts w:asciiTheme="minorHAnsi" w:hAnsiTheme="minorHAnsi" w:cstheme="minorHAnsi"/>
          <w:sz w:val="22"/>
          <w:lang w:val="en-US"/>
        </w:rPr>
        <w:t xml:space="preserve">inal </w:t>
      </w:r>
      <w:r w:rsidR="003D1BC8">
        <w:rPr>
          <w:rFonts w:asciiTheme="minorHAnsi" w:hAnsiTheme="minorHAnsi" w:cstheme="minorHAnsi"/>
          <w:sz w:val="22"/>
          <w:lang w:val="en-US"/>
        </w:rPr>
        <w:t>y</w:t>
      </w:r>
      <w:r w:rsidRPr="001C105A">
        <w:rPr>
          <w:rFonts w:asciiTheme="minorHAnsi" w:hAnsiTheme="minorHAnsi" w:cstheme="minorHAnsi"/>
          <w:sz w:val="22"/>
          <w:lang w:val="en-US"/>
        </w:rPr>
        <w:t xml:space="preserve">ield, the final allocation of the offered Bonds will be decided. In any case, the Interest Rate shall be determined within the announced binding yield range.  </w:t>
      </w:r>
    </w:p>
    <w:p w14:paraId="68C4D481" w14:textId="0D389250" w:rsidR="008F3F2A" w:rsidRPr="001C105A" w:rsidRDefault="008F3F2A" w:rsidP="008F3F2A">
      <w:pPr>
        <w:spacing w:line="240" w:lineRule="auto"/>
        <w:jc w:val="both"/>
        <w:rPr>
          <w:rFonts w:asciiTheme="minorHAnsi" w:hAnsiTheme="minorHAnsi" w:cstheme="minorHAnsi"/>
          <w:sz w:val="22"/>
          <w:lang w:val="en-US"/>
        </w:rPr>
      </w:pPr>
      <w:r w:rsidRPr="001C105A">
        <w:rPr>
          <w:rFonts w:asciiTheme="minorHAnsi" w:hAnsiTheme="minorHAnsi" w:cstheme="minorHAnsi"/>
          <w:sz w:val="22"/>
          <w:lang w:val="en-US"/>
        </w:rPr>
        <w:t xml:space="preserve">The Interest Rate and Offer Price will be common for all investors, Professional and Retail, that will participate in the Issue of the Bonds by means of a Public Offer.  </w:t>
      </w:r>
    </w:p>
    <w:p w14:paraId="62195218" w14:textId="360DD48C" w:rsidR="008F3F2A" w:rsidRPr="001C105A" w:rsidRDefault="008F3F2A" w:rsidP="008F3F2A">
      <w:pPr>
        <w:spacing w:line="240" w:lineRule="auto"/>
        <w:jc w:val="both"/>
        <w:rPr>
          <w:rFonts w:asciiTheme="minorHAnsi" w:hAnsiTheme="minorHAnsi" w:cstheme="minorHAnsi"/>
          <w:sz w:val="22"/>
          <w:lang w:val="en-US"/>
        </w:rPr>
      </w:pPr>
      <w:r w:rsidRPr="001C105A">
        <w:rPr>
          <w:rFonts w:asciiTheme="minorHAnsi" w:hAnsiTheme="minorHAnsi" w:cstheme="minorHAnsi"/>
          <w:sz w:val="22"/>
          <w:lang w:val="en-US"/>
        </w:rPr>
        <w:t>Within two (2) business days following the end of the Public Offer, a detailed announcement will be issued by the Joint Coordinators and Bookrunners</w:t>
      </w:r>
      <w:r w:rsidR="003D1BC8">
        <w:rPr>
          <w:rFonts w:asciiTheme="minorHAnsi" w:hAnsiTheme="minorHAnsi" w:cstheme="minorHAnsi"/>
          <w:sz w:val="22"/>
          <w:lang w:val="en-US"/>
        </w:rPr>
        <w:t>,</w:t>
      </w:r>
      <w:r w:rsidRPr="001C105A">
        <w:rPr>
          <w:rFonts w:asciiTheme="minorHAnsi" w:hAnsiTheme="minorHAnsi" w:cstheme="minorHAnsi"/>
          <w:sz w:val="22"/>
          <w:lang w:val="en-US"/>
        </w:rPr>
        <w:t xml:space="preserve"> regarding the </w:t>
      </w:r>
      <w:r w:rsidR="00D70031" w:rsidRPr="001C105A">
        <w:rPr>
          <w:rFonts w:asciiTheme="minorHAnsi" w:hAnsiTheme="minorHAnsi" w:cstheme="minorHAnsi"/>
          <w:sz w:val="22"/>
          <w:lang w:val="en-US"/>
        </w:rPr>
        <w:t>outcome</w:t>
      </w:r>
      <w:r w:rsidRPr="001C105A">
        <w:rPr>
          <w:rFonts w:asciiTheme="minorHAnsi" w:hAnsiTheme="minorHAnsi" w:cstheme="minorHAnsi"/>
          <w:sz w:val="22"/>
          <w:lang w:val="en-US"/>
        </w:rPr>
        <w:t xml:space="preserve"> of the Public Offer, including the Interest Rate, which will be published in the Daily Statistical Bulletin of ATHEX.  </w:t>
      </w:r>
    </w:p>
    <w:p w14:paraId="006F5EE1" w14:textId="30688C0B" w:rsidR="008F3F2A" w:rsidRPr="001C105A" w:rsidRDefault="008F3F2A" w:rsidP="008F3F2A">
      <w:pPr>
        <w:spacing w:line="240" w:lineRule="auto"/>
        <w:jc w:val="both"/>
        <w:rPr>
          <w:rFonts w:asciiTheme="minorHAnsi" w:hAnsiTheme="minorHAnsi" w:cstheme="minorHAnsi"/>
          <w:i/>
          <w:iCs/>
          <w:sz w:val="22"/>
          <w:lang w:val="en-US"/>
        </w:rPr>
      </w:pPr>
      <w:r w:rsidRPr="001C105A">
        <w:rPr>
          <w:rFonts w:asciiTheme="minorHAnsi" w:hAnsiTheme="minorHAnsi" w:cstheme="minorHAnsi"/>
          <w:i/>
          <w:iCs/>
          <w:sz w:val="22"/>
          <w:lang w:val="en-US"/>
        </w:rPr>
        <w:t xml:space="preserve">Detailed information on the </w:t>
      </w:r>
      <w:r w:rsidR="009D68D0" w:rsidRPr="001C105A">
        <w:rPr>
          <w:rFonts w:asciiTheme="minorHAnsi" w:hAnsiTheme="minorHAnsi" w:cstheme="minorHAnsi"/>
          <w:i/>
          <w:iCs/>
          <w:sz w:val="22"/>
          <w:lang w:val="en-GB"/>
        </w:rPr>
        <w:t xml:space="preserve">final yield and </w:t>
      </w:r>
      <w:r w:rsidR="003D1BC8">
        <w:rPr>
          <w:rFonts w:asciiTheme="minorHAnsi" w:hAnsiTheme="minorHAnsi" w:cstheme="minorHAnsi"/>
          <w:i/>
          <w:iCs/>
          <w:sz w:val="22"/>
          <w:lang w:val="en-GB"/>
        </w:rPr>
        <w:t>I</w:t>
      </w:r>
      <w:r w:rsidR="009D68D0" w:rsidRPr="001C105A">
        <w:rPr>
          <w:rFonts w:asciiTheme="minorHAnsi" w:hAnsiTheme="minorHAnsi" w:cstheme="minorHAnsi"/>
          <w:i/>
          <w:iCs/>
          <w:sz w:val="22"/>
          <w:lang w:val="en-GB"/>
        </w:rPr>
        <w:t xml:space="preserve">nterest </w:t>
      </w:r>
      <w:r w:rsidR="003D1BC8">
        <w:rPr>
          <w:rFonts w:asciiTheme="minorHAnsi" w:hAnsiTheme="minorHAnsi" w:cstheme="minorHAnsi"/>
          <w:i/>
          <w:iCs/>
          <w:sz w:val="22"/>
          <w:lang w:val="en-GB"/>
        </w:rPr>
        <w:t>R</w:t>
      </w:r>
      <w:r w:rsidR="009D68D0" w:rsidRPr="001C105A">
        <w:rPr>
          <w:rFonts w:asciiTheme="minorHAnsi" w:hAnsiTheme="minorHAnsi" w:cstheme="minorHAnsi"/>
          <w:i/>
          <w:iCs/>
          <w:sz w:val="22"/>
          <w:lang w:val="en-GB"/>
        </w:rPr>
        <w:t>ate</w:t>
      </w:r>
      <w:r w:rsidRPr="001C105A">
        <w:rPr>
          <w:rFonts w:asciiTheme="minorHAnsi" w:hAnsiTheme="minorHAnsi" w:cstheme="minorHAnsi"/>
          <w:i/>
          <w:iCs/>
          <w:sz w:val="22"/>
          <w:lang w:val="en-US"/>
        </w:rPr>
        <w:t xml:space="preserve"> is provided in section 4.3.3. “Determination of final yield</w:t>
      </w:r>
      <w:r w:rsidR="009D68D0" w:rsidRPr="001C105A">
        <w:rPr>
          <w:rFonts w:asciiTheme="minorHAnsi" w:hAnsiTheme="minorHAnsi" w:cstheme="minorHAnsi"/>
          <w:i/>
          <w:iCs/>
          <w:sz w:val="22"/>
          <w:lang w:val="en-US"/>
        </w:rPr>
        <w:t xml:space="preserve"> </w:t>
      </w:r>
      <w:r w:rsidR="009D68D0" w:rsidRPr="001C105A">
        <w:rPr>
          <w:rFonts w:asciiTheme="minorHAnsi" w:hAnsiTheme="minorHAnsi" w:cstheme="minorHAnsi"/>
          <w:i/>
          <w:iCs/>
          <w:sz w:val="22"/>
          <w:lang w:val="en-GB"/>
        </w:rPr>
        <w:t>and</w:t>
      </w:r>
      <w:r w:rsidRPr="001C105A">
        <w:rPr>
          <w:rFonts w:asciiTheme="minorHAnsi" w:hAnsiTheme="minorHAnsi" w:cstheme="minorHAnsi"/>
          <w:i/>
          <w:iCs/>
          <w:sz w:val="22"/>
          <w:lang w:val="en-US"/>
        </w:rPr>
        <w:t xml:space="preserve"> Interest Rate of the Bonds </w:t>
      </w:r>
      <w:r w:rsidR="003D1BC8">
        <w:rPr>
          <w:rFonts w:asciiTheme="minorHAnsi" w:hAnsiTheme="minorHAnsi" w:cstheme="minorHAnsi"/>
          <w:i/>
          <w:iCs/>
          <w:sz w:val="22"/>
          <w:lang w:val="en-US"/>
        </w:rPr>
        <w:t xml:space="preserve">issued </w:t>
      </w:r>
      <w:r w:rsidRPr="001C105A">
        <w:rPr>
          <w:rFonts w:asciiTheme="minorHAnsi" w:hAnsiTheme="minorHAnsi" w:cstheme="minorHAnsi"/>
          <w:i/>
          <w:iCs/>
          <w:sz w:val="22"/>
          <w:lang w:val="en-US"/>
        </w:rPr>
        <w:t>by means of a Public Offer</w:t>
      </w:r>
      <w:r w:rsidR="003D1BC8">
        <w:rPr>
          <w:rFonts w:asciiTheme="minorHAnsi" w:hAnsiTheme="minorHAnsi" w:cstheme="minorHAnsi"/>
          <w:i/>
          <w:iCs/>
          <w:sz w:val="22"/>
          <w:lang w:val="en-US"/>
        </w:rPr>
        <w:t>,</w:t>
      </w:r>
      <w:r w:rsidRPr="001C105A">
        <w:rPr>
          <w:rFonts w:asciiTheme="minorHAnsi" w:hAnsiTheme="minorHAnsi" w:cstheme="minorHAnsi"/>
          <w:i/>
          <w:iCs/>
          <w:sz w:val="22"/>
          <w:lang w:val="en-US"/>
        </w:rPr>
        <w:t xml:space="preserve"> by way of Book Building” of the Prospectus.  </w:t>
      </w:r>
    </w:p>
    <w:p w14:paraId="4B979064" w14:textId="77777777" w:rsidR="008F3F2A" w:rsidRPr="001C105A" w:rsidRDefault="008F3F2A" w:rsidP="00CA146D">
      <w:pPr>
        <w:pStyle w:val="Heading1"/>
        <w:rPr>
          <w:rFonts w:asciiTheme="minorHAnsi" w:hAnsiTheme="minorHAnsi" w:cstheme="minorHAnsi"/>
        </w:rPr>
      </w:pPr>
      <w:r w:rsidRPr="001C105A">
        <w:rPr>
          <w:rFonts w:asciiTheme="minorHAnsi" w:hAnsiTheme="minorHAnsi" w:cstheme="minorHAnsi"/>
        </w:rPr>
        <w:t xml:space="preserve">PROCESS FOR BONDS OFFERING  </w:t>
      </w:r>
    </w:p>
    <w:p w14:paraId="7774DF85" w14:textId="31508B18" w:rsidR="00640911" w:rsidRPr="00C71AED" w:rsidRDefault="00640911" w:rsidP="00640911">
      <w:pPr>
        <w:spacing w:after="0" w:line="240" w:lineRule="auto"/>
        <w:jc w:val="both"/>
        <w:rPr>
          <w:rFonts w:asciiTheme="minorHAnsi" w:hAnsiTheme="minorHAnsi" w:cstheme="minorHAnsi"/>
          <w:sz w:val="22"/>
          <w:lang w:val="en-US"/>
        </w:rPr>
      </w:pPr>
      <w:bookmarkStart w:id="5" w:name="_Hlk64877377"/>
      <w:r w:rsidRPr="00C71AED">
        <w:rPr>
          <w:rFonts w:asciiTheme="minorHAnsi" w:hAnsiTheme="minorHAnsi" w:cstheme="minorHAnsi"/>
          <w:sz w:val="22"/>
          <w:lang w:val="en-US"/>
        </w:rPr>
        <w:t xml:space="preserve">The Bonds offering, namely the Bonds of a total nominal value up to the amount of €300,000,000, shall be conducted by way of a Public Offer to investors </w:t>
      </w:r>
      <w:r w:rsidR="00A2015D">
        <w:rPr>
          <w:rFonts w:asciiTheme="minorHAnsi" w:hAnsiTheme="minorHAnsi" w:cstheme="minorHAnsi"/>
          <w:sz w:val="22"/>
          <w:lang w:val="en-US"/>
        </w:rPr>
        <w:t xml:space="preserve">in Greece </w:t>
      </w:r>
      <w:r w:rsidRPr="00C71AED">
        <w:rPr>
          <w:rFonts w:asciiTheme="minorHAnsi" w:hAnsiTheme="minorHAnsi" w:cstheme="minorHAnsi"/>
          <w:sz w:val="22"/>
          <w:lang w:val="en-US"/>
        </w:rPr>
        <w:t xml:space="preserve">through the E.BB. process. </w:t>
      </w:r>
    </w:p>
    <w:p w14:paraId="59AFE66E" w14:textId="77777777" w:rsidR="00640911" w:rsidRPr="00C71AED" w:rsidRDefault="00640911" w:rsidP="00640911">
      <w:pPr>
        <w:spacing w:after="0" w:line="240" w:lineRule="auto"/>
        <w:jc w:val="both"/>
        <w:rPr>
          <w:rFonts w:asciiTheme="minorHAnsi" w:hAnsiTheme="minorHAnsi" w:cstheme="minorHAnsi"/>
          <w:sz w:val="22"/>
          <w:lang w:val="en-US"/>
        </w:rPr>
      </w:pPr>
      <w:r w:rsidRPr="00C71AED">
        <w:rPr>
          <w:rFonts w:asciiTheme="minorHAnsi" w:hAnsiTheme="minorHAnsi" w:cstheme="minorHAnsi"/>
          <w:sz w:val="22"/>
          <w:lang w:val="en-US"/>
        </w:rPr>
        <w:t xml:space="preserve"> </w:t>
      </w:r>
    </w:p>
    <w:p w14:paraId="4C27E034" w14:textId="2976E1F8" w:rsidR="00640911" w:rsidRPr="00C71AED" w:rsidRDefault="00746611" w:rsidP="00640911">
      <w:pPr>
        <w:spacing w:line="240" w:lineRule="auto"/>
        <w:jc w:val="both"/>
        <w:rPr>
          <w:rFonts w:asciiTheme="minorHAnsi" w:hAnsiTheme="minorHAnsi" w:cstheme="minorHAnsi"/>
          <w:sz w:val="22"/>
          <w:lang w:val="en-US"/>
        </w:rPr>
      </w:pPr>
      <w:r>
        <w:rPr>
          <w:rFonts w:asciiTheme="minorHAnsi" w:hAnsiTheme="minorHAnsi" w:cstheme="minorHAnsi"/>
          <w:sz w:val="22"/>
          <w:lang w:val="en-US"/>
        </w:rPr>
        <w:t xml:space="preserve">Trading unit on ATHEX will be one (1) Bond. </w:t>
      </w:r>
      <w:r w:rsidR="00640911" w:rsidRPr="00C71AED">
        <w:rPr>
          <w:rFonts w:asciiTheme="minorHAnsi" w:hAnsiTheme="minorHAnsi" w:cstheme="minorHAnsi"/>
          <w:sz w:val="22"/>
          <w:lang w:val="en-US"/>
        </w:rPr>
        <w:t xml:space="preserve">Each investor may be registered by filing the relevant subscription statement (“Subscription Statement”) for the purchase of Bonds, via the E.BB. process for at least one (1) offered Bond or for an integral number of Bonds. The maximum amount for subscription for every investor is the total amount of the Public Offer, namely up to 300,000 Bonds. The minimum amount for participation is one (1) Bond of a nominal value of €1,000.  </w:t>
      </w:r>
    </w:p>
    <w:p w14:paraId="30D1075A" w14:textId="77777777" w:rsidR="00640911" w:rsidRPr="00C71AED" w:rsidRDefault="00640911" w:rsidP="00640911">
      <w:pPr>
        <w:spacing w:line="240" w:lineRule="auto"/>
        <w:jc w:val="both"/>
        <w:rPr>
          <w:rFonts w:asciiTheme="minorHAnsi" w:hAnsiTheme="minorHAnsi" w:cstheme="minorHAnsi"/>
          <w:sz w:val="22"/>
          <w:lang w:val="en-US"/>
        </w:rPr>
      </w:pPr>
      <w:r w:rsidRPr="00C71AED">
        <w:rPr>
          <w:rFonts w:asciiTheme="minorHAnsi" w:hAnsiTheme="minorHAnsi" w:cstheme="minorHAnsi"/>
          <w:sz w:val="22"/>
          <w:lang w:val="en-US"/>
        </w:rPr>
        <w:t xml:space="preserve">The Public Offer and registration period for interested investors will have a duration of three (3) business days.  </w:t>
      </w:r>
    </w:p>
    <w:p w14:paraId="5E13E714" w14:textId="77777777" w:rsidR="00640911" w:rsidRPr="00C71AED" w:rsidRDefault="00640911" w:rsidP="00640911">
      <w:pPr>
        <w:spacing w:line="240" w:lineRule="auto"/>
        <w:jc w:val="both"/>
        <w:rPr>
          <w:rFonts w:asciiTheme="minorHAnsi" w:hAnsiTheme="minorHAnsi" w:cstheme="minorHAnsi"/>
          <w:sz w:val="22"/>
          <w:lang w:val="en-US"/>
        </w:rPr>
      </w:pPr>
      <w:r w:rsidRPr="00C71AED">
        <w:rPr>
          <w:rFonts w:asciiTheme="minorHAnsi" w:hAnsiTheme="minorHAnsi" w:cstheme="minorHAnsi"/>
          <w:sz w:val="22"/>
          <w:lang w:val="en-US"/>
        </w:rPr>
        <w:t xml:space="preserve">The Joint Coordinators and Bookrunners have been designated as Coordinators of the E.BB. process, as set out in E.BB. Resolution. In particular, the Public Offer will commence on Wednesday, 14 July 2021, at 10:00 a.m. Greek time and shall conclude on Friday, 16 July 2021, at 16:00 p.m., Greek time. </w:t>
      </w:r>
    </w:p>
    <w:p w14:paraId="3C94CCDF" w14:textId="77777777" w:rsidR="00640911" w:rsidRPr="00C71AED" w:rsidRDefault="00640911" w:rsidP="00640911">
      <w:pPr>
        <w:spacing w:line="240" w:lineRule="auto"/>
        <w:jc w:val="both"/>
        <w:rPr>
          <w:rFonts w:asciiTheme="minorHAnsi" w:hAnsiTheme="minorHAnsi" w:cstheme="minorHAnsi"/>
          <w:sz w:val="22"/>
          <w:lang w:val="en-US"/>
        </w:rPr>
      </w:pPr>
      <w:r w:rsidRPr="00C71AED">
        <w:rPr>
          <w:rFonts w:asciiTheme="minorHAnsi" w:hAnsiTheme="minorHAnsi" w:cstheme="minorHAnsi"/>
          <w:sz w:val="22"/>
          <w:lang w:val="en-US"/>
        </w:rPr>
        <w:t xml:space="preserve">The E.BB. shall remain open, throughout the term of the Public Offer from 10:00 a.m. until 17:00 p.m., with the exception of 16 July 2021, when it will close at 16:00 p.m. </w:t>
      </w:r>
    </w:p>
    <w:p w14:paraId="3384625A" w14:textId="01CD73DC" w:rsidR="00640911" w:rsidRPr="00C71AED" w:rsidRDefault="00746611" w:rsidP="00640911">
      <w:pPr>
        <w:spacing w:line="240" w:lineRule="auto"/>
        <w:jc w:val="both"/>
        <w:rPr>
          <w:rFonts w:asciiTheme="minorHAnsi" w:hAnsiTheme="minorHAnsi" w:cstheme="minorHAnsi"/>
          <w:sz w:val="22"/>
          <w:lang w:val="en-US"/>
        </w:rPr>
      </w:pPr>
      <w:r w:rsidRPr="00C71AED">
        <w:rPr>
          <w:rFonts w:asciiTheme="minorHAnsi" w:hAnsiTheme="minorHAnsi" w:cstheme="minorHAnsi"/>
          <w:sz w:val="22"/>
          <w:lang w:val="en-US"/>
        </w:rPr>
        <w:t>For</w:t>
      </w:r>
      <w:r w:rsidR="00640911" w:rsidRPr="00C71AED">
        <w:rPr>
          <w:rFonts w:asciiTheme="minorHAnsi" w:hAnsiTheme="minorHAnsi" w:cstheme="minorHAnsi"/>
          <w:sz w:val="22"/>
          <w:lang w:val="en-US"/>
        </w:rPr>
        <w:t xml:space="preserve"> interested investor</w:t>
      </w:r>
      <w:r>
        <w:rPr>
          <w:rFonts w:asciiTheme="minorHAnsi" w:hAnsiTheme="minorHAnsi" w:cstheme="minorHAnsi"/>
          <w:sz w:val="22"/>
          <w:lang w:val="en-US"/>
        </w:rPr>
        <w:t>s</w:t>
      </w:r>
      <w:r w:rsidR="00640911" w:rsidRPr="00C71AED">
        <w:rPr>
          <w:rFonts w:asciiTheme="minorHAnsi" w:hAnsiTheme="minorHAnsi" w:cstheme="minorHAnsi"/>
          <w:sz w:val="22"/>
          <w:lang w:val="en-US"/>
        </w:rPr>
        <w:t xml:space="preserve"> to participate in the Public Offer of the Bonds, a Subscription Statement for the Bonds shall be submitted during the term of the Public Offer, pursuant to the terms and conditions of the approved Prospectus and the CBL Programme.</w:t>
      </w:r>
      <w:bookmarkEnd w:id="5"/>
      <w:r w:rsidR="00640911" w:rsidRPr="00C71AED">
        <w:rPr>
          <w:rFonts w:asciiTheme="minorHAnsi" w:hAnsiTheme="minorHAnsi" w:cstheme="minorHAnsi"/>
          <w:sz w:val="22"/>
          <w:lang w:val="en-US"/>
        </w:rPr>
        <w:t xml:space="preserve"> </w:t>
      </w:r>
    </w:p>
    <w:p w14:paraId="78BDDA47" w14:textId="77777777" w:rsidR="00640911" w:rsidRPr="00C71AED" w:rsidRDefault="00640911" w:rsidP="00640911">
      <w:pPr>
        <w:spacing w:line="240" w:lineRule="auto"/>
        <w:jc w:val="both"/>
        <w:rPr>
          <w:rFonts w:asciiTheme="minorHAnsi" w:hAnsiTheme="minorHAnsi" w:cstheme="minorHAnsi"/>
          <w:sz w:val="22"/>
          <w:lang w:val="en-US"/>
        </w:rPr>
      </w:pPr>
      <w:r w:rsidRPr="00C71AED">
        <w:rPr>
          <w:rFonts w:asciiTheme="minorHAnsi" w:hAnsiTheme="minorHAnsi" w:cstheme="minorHAnsi"/>
          <w:sz w:val="22"/>
          <w:lang w:val="en-US"/>
        </w:rPr>
        <w:lastRenderedPageBreak/>
        <w:t>Amendment or cancellation of the Subscription Statement for the offer for purchase of Bonds is possible for the duration of the term of the Public Offer, following the same process for its initial submission.</w:t>
      </w:r>
    </w:p>
    <w:p w14:paraId="266BCFDA" w14:textId="77777777" w:rsidR="00640911" w:rsidRPr="00C71AED" w:rsidRDefault="00640911" w:rsidP="00640911">
      <w:pPr>
        <w:spacing w:line="240" w:lineRule="auto"/>
        <w:jc w:val="both"/>
        <w:rPr>
          <w:rFonts w:asciiTheme="minorHAnsi" w:hAnsiTheme="minorHAnsi" w:cstheme="minorHAnsi"/>
          <w:sz w:val="22"/>
          <w:lang w:val="en-US"/>
        </w:rPr>
      </w:pPr>
      <w:r w:rsidRPr="00C71AED">
        <w:rPr>
          <w:rFonts w:asciiTheme="minorHAnsi" w:hAnsiTheme="minorHAnsi" w:cstheme="minorHAnsi"/>
          <w:sz w:val="22"/>
          <w:lang w:val="en-US"/>
        </w:rPr>
        <w:t>In case that the Subscription Statement is not properly submitted, pursuant to the terms and conditions for the subscription in the Public Offer, according to the Prospectus, the CBL Program and the E.BB Resolution, the Subscription Statement will not be accepted.</w:t>
      </w:r>
    </w:p>
    <w:p w14:paraId="1111B3FE" w14:textId="09AD639C" w:rsidR="00640911" w:rsidRPr="00C71AED" w:rsidRDefault="00640911" w:rsidP="00640911">
      <w:pPr>
        <w:spacing w:line="240" w:lineRule="auto"/>
        <w:jc w:val="both"/>
        <w:rPr>
          <w:rFonts w:asciiTheme="minorHAnsi" w:hAnsiTheme="minorHAnsi" w:cstheme="minorHAnsi"/>
          <w:i/>
          <w:iCs/>
          <w:sz w:val="22"/>
          <w:lang w:val="en-US"/>
        </w:rPr>
      </w:pPr>
      <w:r w:rsidRPr="00C71AED">
        <w:rPr>
          <w:rFonts w:asciiTheme="minorHAnsi" w:hAnsiTheme="minorHAnsi" w:cstheme="minorHAnsi"/>
          <w:i/>
          <w:iCs/>
          <w:sz w:val="22"/>
          <w:lang w:val="en-US"/>
        </w:rPr>
        <w:t>Detailed information on the process for the Bonds</w:t>
      </w:r>
      <w:r w:rsidR="00746611">
        <w:rPr>
          <w:rFonts w:asciiTheme="minorHAnsi" w:hAnsiTheme="minorHAnsi" w:cstheme="minorHAnsi"/>
          <w:i/>
          <w:iCs/>
          <w:sz w:val="22"/>
          <w:lang w:val="en-US"/>
        </w:rPr>
        <w:t>’</w:t>
      </w:r>
      <w:r w:rsidRPr="00C71AED">
        <w:rPr>
          <w:rFonts w:asciiTheme="minorHAnsi" w:hAnsiTheme="minorHAnsi" w:cstheme="minorHAnsi"/>
          <w:i/>
          <w:iCs/>
          <w:sz w:val="22"/>
          <w:lang w:val="en-US"/>
        </w:rPr>
        <w:t xml:space="preserve"> offering is provided in section 4.3.5. “Offering process, Registration and Allocation of the Offered Bonds by means of a Public Offer” of the Prospectus.  </w:t>
      </w:r>
    </w:p>
    <w:p w14:paraId="49209E73" w14:textId="77777777" w:rsidR="008F3F2A" w:rsidRPr="001C105A" w:rsidRDefault="008F3F2A" w:rsidP="00CA146D">
      <w:pPr>
        <w:pStyle w:val="Heading1"/>
        <w:rPr>
          <w:rFonts w:asciiTheme="minorHAnsi" w:hAnsiTheme="minorHAnsi" w:cstheme="minorHAnsi"/>
        </w:rPr>
      </w:pPr>
      <w:r w:rsidRPr="001C105A">
        <w:rPr>
          <w:rFonts w:asciiTheme="minorHAnsi" w:hAnsiTheme="minorHAnsi" w:cstheme="minorHAnsi"/>
        </w:rPr>
        <w:t xml:space="preserve">PROCEDURE FOR PARTICIPATION OF RETAIL INVESTORS IN THE PUBLIC OFFER  </w:t>
      </w:r>
    </w:p>
    <w:p w14:paraId="036B77E0" w14:textId="6F95530C" w:rsidR="008F3F2A" w:rsidRDefault="008F3F2A" w:rsidP="00E62576">
      <w:pPr>
        <w:spacing w:after="0" w:line="240" w:lineRule="auto"/>
        <w:jc w:val="both"/>
        <w:rPr>
          <w:rFonts w:asciiTheme="minorHAnsi" w:hAnsiTheme="minorHAnsi" w:cstheme="minorHAnsi"/>
          <w:sz w:val="22"/>
          <w:lang w:val="en-US"/>
        </w:rPr>
      </w:pPr>
      <w:bookmarkStart w:id="6" w:name="_Hlk64877428"/>
      <w:r w:rsidRPr="001C105A">
        <w:rPr>
          <w:rFonts w:asciiTheme="minorHAnsi" w:hAnsiTheme="minorHAnsi" w:cstheme="minorHAnsi"/>
          <w:sz w:val="22"/>
          <w:lang w:val="en-US"/>
        </w:rPr>
        <w:t xml:space="preserve">Interested Retail Investors </w:t>
      </w:r>
      <w:r w:rsidR="005F42DD">
        <w:rPr>
          <w:rFonts w:asciiTheme="minorHAnsi" w:hAnsiTheme="minorHAnsi" w:cstheme="minorHAnsi"/>
          <w:sz w:val="22"/>
          <w:lang w:val="en-US"/>
        </w:rPr>
        <w:t>may</w:t>
      </w:r>
      <w:r w:rsidR="005F42DD" w:rsidRPr="001C105A">
        <w:rPr>
          <w:rFonts w:asciiTheme="minorHAnsi" w:hAnsiTheme="minorHAnsi" w:cstheme="minorHAnsi"/>
          <w:sz w:val="22"/>
          <w:lang w:val="en-US"/>
        </w:rPr>
        <w:t xml:space="preserve"> </w:t>
      </w:r>
      <w:r w:rsidRPr="001C105A">
        <w:rPr>
          <w:rFonts w:asciiTheme="minorHAnsi" w:hAnsiTheme="minorHAnsi" w:cstheme="minorHAnsi"/>
          <w:sz w:val="22"/>
          <w:lang w:val="en-US"/>
        </w:rPr>
        <w:t xml:space="preserve">file their Subscription Statements at the branches of the Joint Coordinators and Bookrunners, namely </w:t>
      </w:r>
      <w:r w:rsidR="005F42DD">
        <w:rPr>
          <w:rFonts w:asciiTheme="minorHAnsi" w:hAnsiTheme="minorHAnsi" w:cstheme="minorHAnsi"/>
          <w:sz w:val="22"/>
          <w:lang w:val="en-US"/>
        </w:rPr>
        <w:t xml:space="preserve">“Piraeus Bank”, “National Bank of Greece S.A.”, </w:t>
      </w:r>
      <w:r w:rsidRPr="001C105A">
        <w:rPr>
          <w:rFonts w:asciiTheme="minorHAnsi" w:hAnsiTheme="minorHAnsi" w:cstheme="minorHAnsi"/>
          <w:sz w:val="22"/>
          <w:lang w:val="en-US"/>
        </w:rPr>
        <w:t>“Alpha Bank S.A.” and “</w:t>
      </w:r>
      <w:r w:rsidR="005F42DD">
        <w:rPr>
          <w:rFonts w:asciiTheme="minorHAnsi" w:hAnsiTheme="minorHAnsi" w:cstheme="minorHAnsi"/>
          <w:sz w:val="22"/>
          <w:lang w:val="en-US"/>
        </w:rPr>
        <w:t>Eurobank</w:t>
      </w:r>
      <w:r w:rsidRPr="001C105A">
        <w:rPr>
          <w:rFonts w:asciiTheme="minorHAnsi" w:hAnsiTheme="minorHAnsi" w:cstheme="minorHAnsi"/>
          <w:sz w:val="22"/>
          <w:lang w:val="en-US"/>
        </w:rPr>
        <w:t xml:space="preserve">” and of the </w:t>
      </w:r>
      <w:r w:rsidR="00FE20D4" w:rsidRPr="001C105A">
        <w:rPr>
          <w:rFonts w:asciiTheme="minorHAnsi" w:hAnsiTheme="minorHAnsi" w:cstheme="minorHAnsi"/>
          <w:sz w:val="22"/>
          <w:lang w:val="en-GB"/>
        </w:rPr>
        <w:t xml:space="preserve">Lead </w:t>
      </w:r>
      <w:r w:rsidRPr="001C105A">
        <w:rPr>
          <w:rFonts w:asciiTheme="minorHAnsi" w:hAnsiTheme="minorHAnsi" w:cstheme="minorHAnsi"/>
          <w:sz w:val="22"/>
          <w:lang w:val="en-US"/>
        </w:rPr>
        <w:t xml:space="preserve">Underwriters </w:t>
      </w:r>
      <w:r w:rsidR="00E62576" w:rsidRPr="001C105A">
        <w:rPr>
          <w:rFonts w:asciiTheme="minorHAnsi" w:hAnsiTheme="minorHAnsi" w:cstheme="minorHAnsi"/>
          <w:sz w:val="22"/>
          <w:lang w:val="en-US"/>
        </w:rPr>
        <w:t>“</w:t>
      </w:r>
      <w:r w:rsidR="005F42DD">
        <w:rPr>
          <w:rFonts w:asciiTheme="minorHAnsi" w:hAnsiTheme="minorHAnsi" w:cstheme="minorHAnsi"/>
          <w:sz w:val="22"/>
          <w:lang w:val="en-US"/>
        </w:rPr>
        <w:t>Optima Bank</w:t>
      </w:r>
      <w:r w:rsidR="00E62576" w:rsidRPr="001C105A">
        <w:rPr>
          <w:rFonts w:asciiTheme="minorHAnsi" w:hAnsiTheme="minorHAnsi" w:cstheme="minorHAnsi"/>
          <w:sz w:val="22"/>
          <w:lang w:val="en-US"/>
        </w:rPr>
        <w:t>”</w:t>
      </w:r>
      <w:r w:rsidR="005F42DD">
        <w:rPr>
          <w:rFonts w:asciiTheme="minorHAnsi" w:hAnsiTheme="minorHAnsi" w:cstheme="minorHAnsi"/>
          <w:sz w:val="22"/>
          <w:lang w:val="en-US"/>
        </w:rPr>
        <w:t xml:space="preserve"> and</w:t>
      </w:r>
      <w:r w:rsidR="00E62576" w:rsidRPr="001C105A">
        <w:rPr>
          <w:rFonts w:asciiTheme="minorHAnsi" w:hAnsiTheme="minorHAnsi" w:cstheme="minorHAnsi"/>
          <w:sz w:val="22"/>
          <w:lang w:val="en-US"/>
        </w:rPr>
        <w:t xml:space="preserve"> “</w:t>
      </w:r>
      <w:r w:rsidR="005F42DD">
        <w:rPr>
          <w:rFonts w:asciiTheme="minorHAnsi" w:hAnsiTheme="minorHAnsi" w:cstheme="minorHAnsi"/>
          <w:sz w:val="22"/>
          <w:lang w:val="en-US"/>
        </w:rPr>
        <w:t>Euroxx Securities</w:t>
      </w:r>
      <w:r w:rsidR="00E62576" w:rsidRPr="001C105A">
        <w:rPr>
          <w:rFonts w:asciiTheme="minorHAnsi" w:hAnsiTheme="minorHAnsi" w:cstheme="minorHAnsi"/>
          <w:sz w:val="22"/>
          <w:lang w:val="en-US"/>
        </w:rPr>
        <w:t xml:space="preserve"> S.A.”</w:t>
      </w:r>
      <w:r w:rsidR="005F42DD">
        <w:rPr>
          <w:rFonts w:asciiTheme="minorHAnsi" w:hAnsiTheme="minorHAnsi" w:cstheme="minorHAnsi"/>
          <w:sz w:val="22"/>
          <w:lang w:val="en-US"/>
        </w:rPr>
        <w:t>,</w:t>
      </w:r>
      <w:r w:rsidR="00FE20D4" w:rsidRPr="001C105A">
        <w:rPr>
          <w:rFonts w:asciiTheme="minorHAnsi" w:hAnsiTheme="minorHAnsi" w:cstheme="minorHAnsi"/>
          <w:sz w:val="22"/>
          <w:lang w:val="en-US"/>
        </w:rPr>
        <w:t xml:space="preserve"> </w:t>
      </w:r>
      <w:r w:rsidRPr="001C105A">
        <w:rPr>
          <w:rFonts w:asciiTheme="minorHAnsi" w:hAnsiTheme="minorHAnsi" w:cstheme="minorHAnsi"/>
          <w:sz w:val="22"/>
          <w:lang w:val="en-US"/>
        </w:rPr>
        <w:t>as well as the E</w:t>
      </w:r>
      <w:r w:rsidR="00D70031" w:rsidRPr="001C105A">
        <w:rPr>
          <w:rFonts w:asciiTheme="minorHAnsi" w:hAnsiTheme="minorHAnsi" w:cstheme="minorHAnsi"/>
          <w:sz w:val="22"/>
          <w:lang w:val="en-US"/>
        </w:rPr>
        <w:t>.</w:t>
      </w:r>
      <w:r w:rsidRPr="001C105A">
        <w:rPr>
          <w:rFonts w:asciiTheme="minorHAnsi" w:hAnsiTheme="minorHAnsi" w:cstheme="minorHAnsi"/>
          <w:sz w:val="22"/>
          <w:lang w:val="en-US"/>
        </w:rPr>
        <w:t xml:space="preserve">BB Members and D.S.S. </w:t>
      </w:r>
      <w:r w:rsidR="005F42DD">
        <w:rPr>
          <w:rFonts w:asciiTheme="minorHAnsi" w:hAnsiTheme="minorHAnsi" w:cstheme="minorHAnsi"/>
          <w:sz w:val="22"/>
          <w:lang w:val="en-US"/>
        </w:rPr>
        <w:t>Participants</w:t>
      </w:r>
      <w:r w:rsidR="005F42DD" w:rsidRPr="001C105A">
        <w:rPr>
          <w:rFonts w:asciiTheme="minorHAnsi" w:hAnsiTheme="minorHAnsi" w:cstheme="minorHAnsi"/>
          <w:sz w:val="22"/>
          <w:lang w:val="en-US"/>
        </w:rPr>
        <w:t xml:space="preserve"> </w:t>
      </w:r>
      <w:r w:rsidRPr="001C105A">
        <w:rPr>
          <w:rFonts w:asciiTheme="minorHAnsi" w:hAnsiTheme="minorHAnsi" w:cstheme="minorHAnsi"/>
          <w:sz w:val="22"/>
          <w:lang w:val="en-US"/>
        </w:rPr>
        <w:t>that cooperate with the E</w:t>
      </w:r>
      <w:r w:rsidR="00D70031" w:rsidRPr="001C105A">
        <w:rPr>
          <w:rFonts w:asciiTheme="minorHAnsi" w:hAnsiTheme="minorHAnsi" w:cstheme="minorHAnsi"/>
          <w:sz w:val="22"/>
          <w:lang w:val="en-US"/>
        </w:rPr>
        <w:t>.</w:t>
      </w:r>
      <w:r w:rsidRPr="001C105A">
        <w:rPr>
          <w:rFonts w:asciiTheme="minorHAnsi" w:hAnsiTheme="minorHAnsi" w:cstheme="minorHAnsi"/>
          <w:sz w:val="22"/>
          <w:lang w:val="en-US"/>
        </w:rPr>
        <w:t>BB Members for the filing of Subscription Statements via the E</w:t>
      </w:r>
      <w:r w:rsidR="00D70031" w:rsidRPr="001C105A">
        <w:rPr>
          <w:rFonts w:asciiTheme="minorHAnsi" w:hAnsiTheme="minorHAnsi" w:cstheme="minorHAnsi"/>
          <w:sz w:val="22"/>
          <w:lang w:val="en-US"/>
        </w:rPr>
        <w:t>.</w:t>
      </w:r>
      <w:r w:rsidRPr="001C105A">
        <w:rPr>
          <w:rFonts w:asciiTheme="minorHAnsi" w:hAnsiTheme="minorHAnsi" w:cstheme="minorHAnsi"/>
          <w:sz w:val="22"/>
          <w:lang w:val="en-US"/>
        </w:rPr>
        <w:t xml:space="preserve">BB service.  </w:t>
      </w:r>
    </w:p>
    <w:p w14:paraId="5A30EED3" w14:textId="77777777" w:rsidR="005F42DD" w:rsidRPr="001C105A" w:rsidRDefault="005F42DD" w:rsidP="00E62576">
      <w:pPr>
        <w:spacing w:after="0" w:line="240" w:lineRule="auto"/>
        <w:jc w:val="both"/>
        <w:rPr>
          <w:rFonts w:asciiTheme="minorHAnsi" w:hAnsiTheme="minorHAnsi" w:cstheme="minorHAnsi"/>
          <w:sz w:val="22"/>
          <w:lang w:val="en-US"/>
        </w:rPr>
      </w:pPr>
    </w:p>
    <w:p w14:paraId="062C6B8D" w14:textId="4B1FC1A9" w:rsidR="008F3F2A" w:rsidRPr="001C105A" w:rsidRDefault="008F3F2A" w:rsidP="008F3F2A">
      <w:pPr>
        <w:spacing w:line="240" w:lineRule="auto"/>
        <w:jc w:val="both"/>
        <w:rPr>
          <w:rFonts w:asciiTheme="minorHAnsi" w:hAnsiTheme="minorHAnsi" w:cstheme="minorHAnsi"/>
          <w:sz w:val="22"/>
          <w:lang w:val="en-US"/>
        </w:rPr>
      </w:pPr>
      <w:r w:rsidRPr="001C105A">
        <w:rPr>
          <w:rFonts w:asciiTheme="minorHAnsi" w:hAnsiTheme="minorHAnsi" w:cstheme="minorHAnsi"/>
          <w:sz w:val="22"/>
          <w:lang w:val="en-US"/>
        </w:rPr>
        <w:t>In order to participate in the Public Offer, interested Retail Investors</w:t>
      </w:r>
      <w:r w:rsidR="005F42DD">
        <w:rPr>
          <w:rFonts w:asciiTheme="minorHAnsi" w:hAnsiTheme="minorHAnsi" w:cstheme="minorHAnsi"/>
          <w:sz w:val="22"/>
          <w:lang w:val="en-US"/>
        </w:rPr>
        <w:t xml:space="preserve"> submitting their statement at the branches above</w:t>
      </w:r>
      <w:r w:rsidRPr="001C105A">
        <w:rPr>
          <w:rFonts w:asciiTheme="minorHAnsi" w:hAnsiTheme="minorHAnsi" w:cstheme="minorHAnsi"/>
          <w:sz w:val="22"/>
          <w:lang w:val="en-US"/>
        </w:rPr>
        <w:t>, have to provide their identity card or passport, their tax identification number and a print‐out of their D.S.S. data</w:t>
      </w:r>
      <w:r w:rsidR="005F42DD">
        <w:rPr>
          <w:rFonts w:asciiTheme="minorHAnsi" w:hAnsiTheme="minorHAnsi" w:cstheme="minorHAnsi"/>
          <w:sz w:val="22"/>
          <w:lang w:val="en-US"/>
        </w:rPr>
        <w:t>.</w:t>
      </w:r>
    </w:p>
    <w:p w14:paraId="7126BC3D" w14:textId="2AEFA690" w:rsidR="008F3F2A" w:rsidRPr="001C105A" w:rsidRDefault="008F3F2A" w:rsidP="008F3F2A">
      <w:pPr>
        <w:spacing w:line="240" w:lineRule="auto"/>
        <w:jc w:val="both"/>
        <w:rPr>
          <w:rFonts w:asciiTheme="minorHAnsi" w:hAnsiTheme="minorHAnsi" w:cstheme="minorHAnsi"/>
          <w:sz w:val="22"/>
          <w:lang w:val="en-US"/>
        </w:rPr>
      </w:pPr>
      <w:r w:rsidRPr="001C105A">
        <w:rPr>
          <w:rFonts w:asciiTheme="minorHAnsi" w:hAnsiTheme="minorHAnsi" w:cstheme="minorHAnsi"/>
          <w:sz w:val="22"/>
          <w:lang w:val="en-US"/>
        </w:rPr>
        <w:t xml:space="preserve">The Subscription Statements of Retail Investors </w:t>
      </w:r>
      <w:r w:rsidR="005F42DD">
        <w:rPr>
          <w:rFonts w:asciiTheme="minorHAnsi" w:hAnsiTheme="minorHAnsi" w:cstheme="minorHAnsi"/>
          <w:sz w:val="22"/>
          <w:lang w:val="en-US"/>
        </w:rPr>
        <w:t xml:space="preserve">via Clients Securities Account, including Joint Investor Shares, </w:t>
      </w:r>
      <w:r w:rsidRPr="001C105A">
        <w:rPr>
          <w:rFonts w:asciiTheme="minorHAnsi" w:hAnsiTheme="minorHAnsi" w:cstheme="minorHAnsi"/>
          <w:sz w:val="22"/>
          <w:lang w:val="en-US"/>
        </w:rPr>
        <w:t xml:space="preserve">shall only be accepted, if interested investors are beneficiaries or co‐beneficiaries of the accounts that are used for subscription.  </w:t>
      </w:r>
    </w:p>
    <w:p w14:paraId="76105CF4" w14:textId="6C7329C2" w:rsidR="008F3F2A" w:rsidRPr="001C105A" w:rsidRDefault="005F42DD" w:rsidP="008F3F2A">
      <w:pPr>
        <w:spacing w:line="240" w:lineRule="auto"/>
        <w:jc w:val="both"/>
        <w:rPr>
          <w:rFonts w:asciiTheme="minorHAnsi" w:hAnsiTheme="minorHAnsi" w:cstheme="minorHAnsi"/>
          <w:sz w:val="22"/>
          <w:lang w:val="en-US"/>
        </w:rPr>
      </w:pPr>
      <w:r>
        <w:rPr>
          <w:rFonts w:asciiTheme="minorHAnsi" w:hAnsiTheme="minorHAnsi" w:cstheme="minorHAnsi"/>
          <w:sz w:val="22"/>
          <w:lang w:val="en-US"/>
        </w:rPr>
        <w:t>I</w:t>
      </w:r>
      <w:r w:rsidR="008F3F2A" w:rsidRPr="001C105A">
        <w:rPr>
          <w:rFonts w:asciiTheme="minorHAnsi" w:hAnsiTheme="minorHAnsi" w:cstheme="minorHAnsi"/>
          <w:sz w:val="22"/>
          <w:lang w:val="en-US"/>
        </w:rPr>
        <w:t>nterested Retail Investors will be registered at the lowest yield range of the Bonds</w:t>
      </w:r>
      <w:r w:rsidR="00287DD8" w:rsidRPr="001C105A">
        <w:rPr>
          <w:rFonts w:asciiTheme="minorHAnsi" w:hAnsiTheme="minorHAnsi" w:cstheme="minorHAnsi"/>
          <w:sz w:val="22"/>
          <w:lang w:val="en-US"/>
        </w:rPr>
        <w:t>, as per above.</w:t>
      </w:r>
      <w:r w:rsidR="008F3F2A" w:rsidRPr="001C105A">
        <w:rPr>
          <w:rFonts w:asciiTheme="minorHAnsi" w:hAnsiTheme="minorHAnsi" w:cstheme="minorHAnsi"/>
          <w:sz w:val="22"/>
          <w:lang w:val="en-US"/>
        </w:rPr>
        <w:t xml:space="preserve"> Value of subscription for Retail Investors is the product of the number of Bonds applied for over the nominal value of €1,000 per Bond.  </w:t>
      </w:r>
    </w:p>
    <w:bookmarkEnd w:id="6"/>
    <w:p w14:paraId="6CCAF2F3" w14:textId="77777777" w:rsidR="008F3F2A" w:rsidRPr="001C105A" w:rsidRDefault="008F3F2A" w:rsidP="008F3F2A">
      <w:pPr>
        <w:spacing w:line="240" w:lineRule="auto"/>
        <w:jc w:val="both"/>
        <w:rPr>
          <w:rFonts w:asciiTheme="minorHAnsi" w:hAnsiTheme="minorHAnsi" w:cstheme="minorHAnsi"/>
          <w:i/>
          <w:iCs/>
          <w:sz w:val="22"/>
          <w:lang w:val="en-US"/>
        </w:rPr>
      </w:pPr>
      <w:r w:rsidRPr="001C105A">
        <w:rPr>
          <w:rFonts w:asciiTheme="minorHAnsi" w:hAnsiTheme="minorHAnsi" w:cstheme="minorHAnsi"/>
          <w:i/>
          <w:iCs/>
          <w:sz w:val="22"/>
          <w:lang w:val="en-US"/>
        </w:rPr>
        <w:t xml:space="preserve">Detailed information on the participation of Retail Investors is provided in section 4.3.5. “Offering process, Registration and Allotment of the Offered Bonds by means of a Public Offer” of the Prospectus.  </w:t>
      </w:r>
    </w:p>
    <w:p w14:paraId="40D74D49" w14:textId="6A39A18B" w:rsidR="008F3F2A" w:rsidRPr="001C105A" w:rsidRDefault="008F3F2A" w:rsidP="00CA146D">
      <w:pPr>
        <w:pStyle w:val="Heading1"/>
        <w:rPr>
          <w:rFonts w:asciiTheme="minorHAnsi" w:hAnsiTheme="minorHAnsi" w:cstheme="minorHAnsi"/>
        </w:rPr>
      </w:pPr>
      <w:r w:rsidRPr="001C105A">
        <w:rPr>
          <w:rFonts w:asciiTheme="minorHAnsi" w:hAnsiTheme="minorHAnsi" w:cstheme="minorHAnsi"/>
        </w:rPr>
        <w:t xml:space="preserve">PROCEDURE FOR PARTICIPATION OF PROFESSIONAL INVESTORS IN THE </w:t>
      </w:r>
      <w:r w:rsidR="009418E9" w:rsidRPr="001C105A">
        <w:rPr>
          <w:rFonts w:asciiTheme="minorHAnsi" w:hAnsiTheme="minorHAnsi" w:cstheme="minorHAnsi"/>
        </w:rPr>
        <w:t xml:space="preserve">(ELECTRONIC) </w:t>
      </w:r>
      <w:r w:rsidRPr="001C105A">
        <w:rPr>
          <w:rFonts w:asciiTheme="minorHAnsi" w:hAnsiTheme="minorHAnsi" w:cstheme="minorHAnsi"/>
        </w:rPr>
        <w:t xml:space="preserve">BOOK BUILDING </w:t>
      </w:r>
      <w:r w:rsidR="00B70754">
        <w:rPr>
          <w:rFonts w:asciiTheme="minorHAnsi" w:hAnsiTheme="minorHAnsi" w:cstheme="minorHAnsi"/>
        </w:rPr>
        <w:t>PROCESS</w:t>
      </w:r>
    </w:p>
    <w:p w14:paraId="12BE815B" w14:textId="77777777" w:rsidR="00640911" w:rsidRPr="00C71AED" w:rsidRDefault="00640911" w:rsidP="00640911">
      <w:pPr>
        <w:spacing w:after="0" w:line="240" w:lineRule="auto"/>
        <w:jc w:val="both"/>
        <w:rPr>
          <w:rFonts w:asciiTheme="minorHAnsi" w:hAnsiTheme="minorHAnsi" w:cstheme="minorHAnsi"/>
          <w:sz w:val="22"/>
          <w:lang w:val="en-US"/>
        </w:rPr>
      </w:pPr>
      <w:bookmarkStart w:id="7" w:name="_Hlk64877494"/>
      <w:r w:rsidRPr="00C71AED">
        <w:rPr>
          <w:rFonts w:asciiTheme="minorHAnsi" w:hAnsiTheme="minorHAnsi" w:cstheme="minorHAnsi"/>
          <w:sz w:val="22"/>
          <w:lang w:val="en-US"/>
        </w:rPr>
        <w:t xml:space="preserve">Interested Professional Investors must file their Subscription Statements directly with the Joint Coordinators and Bookrunners and Lead Underwriters. </w:t>
      </w:r>
    </w:p>
    <w:p w14:paraId="317541D9" w14:textId="77777777" w:rsidR="00640911" w:rsidRPr="00C71AED" w:rsidRDefault="00640911" w:rsidP="00640911">
      <w:pPr>
        <w:spacing w:after="0" w:line="240" w:lineRule="auto"/>
        <w:jc w:val="both"/>
        <w:rPr>
          <w:rFonts w:asciiTheme="minorHAnsi" w:hAnsiTheme="minorHAnsi" w:cstheme="minorHAnsi"/>
          <w:sz w:val="22"/>
          <w:lang w:val="en-US"/>
        </w:rPr>
      </w:pPr>
    </w:p>
    <w:p w14:paraId="7A6BE7BD" w14:textId="0893378E" w:rsidR="00640911" w:rsidRPr="00C71AED" w:rsidRDefault="00640911" w:rsidP="00640911">
      <w:pPr>
        <w:spacing w:line="240" w:lineRule="auto"/>
        <w:jc w:val="both"/>
        <w:rPr>
          <w:rFonts w:asciiTheme="minorHAnsi" w:hAnsiTheme="minorHAnsi" w:cstheme="minorHAnsi"/>
          <w:sz w:val="22"/>
          <w:lang w:val="en-US"/>
        </w:rPr>
      </w:pPr>
      <w:r w:rsidRPr="00C71AED">
        <w:rPr>
          <w:rFonts w:asciiTheme="minorHAnsi" w:hAnsiTheme="minorHAnsi" w:cstheme="minorHAnsi"/>
          <w:sz w:val="22"/>
          <w:lang w:val="en-US"/>
        </w:rPr>
        <w:t xml:space="preserve">The process for submission </w:t>
      </w:r>
      <w:r w:rsidR="00B70754">
        <w:rPr>
          <w:rFonts w:asciiTheme="minorHAnsi" w:hAnsiTheme="minorHAnsi" w:cstheme="minorHAnsi"/>
          <w:sz w:val="22"/>
          <w:lang w:val="en-US"/>
        </w:rPr>
        <w:t xml:space="preserve">of </w:t>
      </w:r>
      <w:r w:rsidRPr="00C71AED">
        <w:rPr>
          <w:rFonts w:asciiTheme="minorHAnsi" w:hAnsiTheme="minorHAnsi" w:cstheme="minorHAnsi"/>
          <w:sz w:val="22"/>
          <w:lang w:val="en-US"/>
        </w:rPr>
        <w:t xml:space="preserve">offers of Professional Investors will have a duration between the first and last day of the Public Offer.  </w:t>
      </w:r>
    </w:p>
    <w:p w14:paraId="18A6298F" w14:textId="77777777" w:rsidR="00640911" w:rsidRPr="00C71AED" w:rsidRDefault="00640911" w:rsidP="00640911">
      <w:pPr>
        <w:spacing w:line="240" w:lineRule="auto"/>
        <w:jc w:val="both"/>
        <w:rPr>
          <w:rFonts w:asciiTheme="minorHAnsi" w:hAnsiTheme="minorHAnsi" w:cstheme="minorHAnsi"/>
          <w:sz w:val="22"/>
          <w:lang w:val="en-US"/>
        </w:rPr>
      </w:pPr>
      <w:r w:rsidRPr="00C71AED">
        <w:rPr>
          <w:rFonts w:asciiTheme="minorHAnsi" w:hAnsiTheme="minorHAnsi" w:cstheme="minorHAnsi"/>
          <w:sz w:val="22"/>
          <w:lang w:val="en-US"/>
        </w:rPr>
        <w:t xml:space="preserve">The yield that will be included in the Subscription Statement, within the range that will be announced, will be on increments of 5 basis points, namely 0.050%.  </w:t>
      </w:r>
    </w:p>
    <w:p w14:paraId="39951C01" w14:textId="77777777" w:rsidR="00640911" w:rsidRPr="00C71AED" w:rsidRDefault="00640911" w:rsidP="00640911">
      <w:pPr>
        <w:spacing w:line="240" w:lineRule="auto"/>
        <w:jc w:val="both"/>
        <w:rPr>
          <w:rFonts w:asciiTheme="minorHAnsi" w:hAnsiTheme="minorHAnsi" w:cstheme="minorHAnsi"/>
          <w:sz w:val="22"/>
          <w:lang w:val="en-US"/>
        </w:rPr>
      </w:pPr>
      <w:r w:rsidRPr="00C71AED">
        <w:rPr>
          <w:rFonts w:asciiTheme="minorHAnsi" w:hAnsiTheme="minorHAnsi" w:cstheme="minorHAnsi"/>
          <w:sz w:val="22"/>
          <w:lang w:val="en-US"/>
        </w:rPr>
        <w:t xml:space="preserve">Offers submitted by Professional Investors will be collected throughout the term of the Electronic Book Building process, which will be managed by the Joint Coordinators and Bookrunners, in order to determine the requested volume per alternative yield, as well as the total number of requested Bonds.  </w:t>
      </w:r>
    </w:p>
    <w:p w14:paraId="28603007" w14:textId="6623506B" w:rsidR="00640911" w:rsidRPr="00C71AED" w:rsidRDefault="00640911" w:rsidP="00640911">
      <w:pPr>
        <w:spacing w:line="240" w:lineRule="auto"/>
        <w:jc w:val="both"/>
        <w:rPr>
          <w:rFonts w:asciiTheme="minorHAnsi" w:hAnsiTheme="minorHAnsi" w:cstheme="minorHAnsi"/>
          <w:sz w:val="22"/>
          <w:lang w:val="en-US"/>
        </w:rPr>
      </w:pPr>
      <w:r w:rsidRPr="00C71AED">
        <w:rPr>
          <w:rFonts w:asciiTheme="minorHAnsi" w:hAnsiTheme="minorHAnsi" w:cstheme="minorHAnsi"/>
          <w:sz w:val="22"/>
          <w:lang w:val="en-US"/>
        </w:rPr>
        <w:lastRenderedPageBreak/>
        <w:t xml:space="preserve">The </w:t>
      </w:r>
      <w:r w:rsidR="00B70754">
        <w:rPr>
          <w:rFonts w:asciiTheme="minorHAnsi" w:hAnsiTheme="minorHAnsi" w:cstheme="minorHAnsi"/>
          <w:sz w:val="22"/>
          <w:lang w:val="en-US"/>
        </w:rPr>
        <w:t xml:space="preserve">Electronic </w:t>
      </w:r>
      <w:r w:rsidRPr="00C71AED">
        <w:rPr>
          <w:rFonts w:asciiTheme="minorHAnsi" w:hAnsiTheme="minorHAnsi" w:cstheme="minorHAnsi"/>
          <w:sz w:val="22"/>
          <w:lang w:val="en-US"/>
        </w:rPr>
        <w:t xml:space="preserve">Book Building will close on the last day of the Public Offer period (16.00 Greek time), and all offers, as in force at that time, will be considered as final. </w:t>
      </w:r>
    </w:p>
    <w:bookmarkEnd w:id="7"/>
    <w:p w14:paraId="0D1F31F8" w14:textId="77777777" w:rsidR="00640911" w:rsidRPr="00C71AED" w:rsidRDefault="00640911" w:rsidP="00640911">
      <w:pPr>
        <w:spacing w:line="240" w:lineRule="auto"/>
        <w:jc w:val="both"/>
        <w:rPr>
          <w:rFonts w:asciiTheme="minorHAnsi" w:hAnsiTheme="minorHAnsi" w:cstheme="minorHAnsi"/>
          <w:i/>
          <w:iCs/>
          <w:sz w:val="22"/>
          <w:lang w:val="en-US"/>
        </w:rPr>
      </w:pPr>
      <w:r w:rsidRPr="00C71AED">
        <w:rPr>
          <w:rFonts w:asciiTheme="minorHAnsi" w:hAnsiTheme="minorHAnsi" w:cstheme="minorHAnsi"/>
          <w:i/>
          <w:iCs/>
          <w:sz w:val="22"/>
          <w:lang w:val="en-US"/>
        </w:rPr>
        <w:t xml:space="preserve">Detailed information on the participation of Professional Investors is provided in section 4.3.5. “Offering process, Registration and Allotment of the Offered Bonds by means of a Public Offer” of the Prospectus.  </w:t>
      </w:r>
    </w:p>
    <w:p w14:paraId="3FE60E2A" w14:textId="77777777" w:rsidR="00640911" w:rsidRPr="00C71AED" w:rsidRDefault="00640911" w:rsidP="00640911">
      <w:pPr>
        <w:pStyle w:val="Heading1"/>
        <w:rPr>
          <w:rFonts w:asciiTheme="minorHAnsi" w:hAnsiTheme="minorHAnsi" w:cstheme="minorHAnsi"/>
        </w:rPr>
      </w:pPr>
      <w:bookmarkStart w:id="8" w:name="_Hlk64877554"/>
      <w:r w:rsidRPr="00C71AED">
        <w:rPr>
          <w:rFonts w:asciiTheme="minorHAnsi" w:hAnsiTheme="minorHAnsi" w:cstheme="minorHAnsi"/>
        </w:rPr>
        <w:t xml:space="preserve">ALLOCATION PROCEDURE  </w:t>
      </w:r>
    </w:p>
    <w:p w14:paraId="77BA3B9E" w14:textId="77777777" w:rsidR="00640911" w:rsidRPr="00C71AED" w:rsidRDefault="00640911" w:rsidP="00640911">
      <w:pPr>
        <w:spacing w:after="0" w:line="240" w:lineRule="auto"/>
        <w:jc w:val="both"/>
        <w:rPr>
          <w:rFonts w:asciiTheme="minorHAnsi" w:hAnsiTheme="minorHAnsi" w:cstheme="minorHAnsi"/>
          <w:sz w:val="22"/>
          <w:lang w:val="en-US"/>
        </w:rPr>
      </w:pPr>
      <w:r w:rsidRPr="00C71AED">
        <w:rPr>
          <w:rFonts w:asciiTheme="minorHAnsi" w:hAnsiTheme="minorHAnsi" w:cstheme="minorHAnsi"/>
          <w:sz w:val="22"/>
          <w:lang w:val="en-US"/>
        </w:rPr>
        <w:t>Following the determination of the final yield</w:t>
      </w:r>
      <w:r w:rsidRPr="00C71AED">
        <w:rPr>
          <w:rFonts w:asciiTheme="minorHAnsi" w:hAnsiTheme="minorHAnsi" w:cstheme="minorHAnsi"/>
          <w:sz w:val="22"/>
          <w:lang w:val="en-GB"/>
        </w:rPr>
        <w:t xml:space="preserve"> and</w:t>
      </w:r>
      <w:r w:rsidRPr="00C71AED">
        <w:rPr>
          <w:rFonts w:asciiTheme="minorHAnsi" w:hAnsiTheme="minorHAnsi" w:cstheme="minorHAnsi"/>
          <w:sz w:val="22"/>
          <w:lang w:val="en-US"/>
        </w:rPr>
        <w:t xml:space="preserve"> Interest Rate, the Joint Coordinators and Bookrunners shall determine the size of the Issue and, subsequently, allocate the Bonds to investors as follows:  </w:t>
      </w:r>
    </w:p>
    <w:p w14:paraId="3E8E1ED9" w14:textId="77777777" w:rsidR="00640911" w:rsidRPr="00C71AED" w:rsidRDefault="00640911" w:rsidP="00640911">
      <w:pPr>
        <w:spacing w:after="0" w:line="240" w:lineRule="auto"/>
        <w:jc w:val="both"/>
        <w:rPr>
          <w:rFonts w:asciiTheme="minorHAnsi" w:hAnsiTheme="minorHAnsi" w:cstheme="minorHAnsi"/>
          <w:sz w:val="22"/>
          <w:lang w:val="en-US"/>
        </w:rPr>
      </w:pPr>
    </w:p>
    <w:p w14:paraId="6D424DCF" w14:textId="77777777" w:rsidR="00640911" w:rsidRPr="00C71AED" w:rsidRDefault="00640911" w:rsidP="00640911">
      <w:pPr>
        <w:pStyle w:val="ListParagraph"/>
        <w:numPr>
          <w:ilvl w:val="0"/>
          <w:numId w:val="4"/>
        </w:numPr>
        <w:spacing w:line="240" w:lineRule="auto"/>
        <w:ind w:left="567" w:hanging="283"/>
        <w:jc w:val="both"/>
        <w:rPr>
          <w:rFonts w:asciiTheme="minorHAnsi" w:hAnsiTheme="minorHAnsi" w:cstheme="minorHAnsi"/>
          <w:sz w:val="22"/>
          <w:lang w:val="en-US"/>
        </w:rPr>
      </w:pPr>
      <w:r w:rsidRPr="00C71AED">
        <w:rPr>
          <w:rFonts w:asciiTheme="minorHAnsi" w:hAnsiTheme="minorHAnsi" w:cstheme="minorHAnsi"/>
          <w:sz w:val="22"/>
          <w:lang w:val="en-US"/>
        </w:rPr>
        <w:t xml:space="preserve">at least 30% of the Bonds of the Public Offer (namely at least 90,000 Bonds in the event of full subscription of the CBL, i.e. issue of 300,000 Bonds) will be allocated to Retail Investors; and  </w:t>
      </w:r>
    </w:p>
    <w:p w14:paraId="23AFFC61" w14:textId="77777777" w:rsidR="00640911" w:rsidRPr="00C71AED" w:rsidRDefault="00640911" w:rsidP="00640911">
      <w:pPr>
        <w:pStyle w:val="ListParagraph"/>
        <w:spacing w:line="240" w:lineRule="auto"/>
        <w:ind w:left="567"/>
        <w:jc w:val="both"/>
        <w:rPr>
          <w:rFonts w:asciiTheme="minorHAnsi" w:hAnsiTheme="minorHAnsi" w:cstheme="minorHAnsi"/>
          <w:sz w:val="22"/>
          <w:lang w:val="en-US"/>
        </w:rPr>
      </w:pPr>
    </w:p>
    <w:p w14:paraId="3171EA95" w14:textId="77777777" w:rsidR="00640911" w:rsidRPr="00C71AED" w:rsidRDefault="00640911" w:rsidP="00640911">
      <w:pPr>
        <w:pStyle w:val="ListParagraph"/>
        <w:numPr>
          <w:ilvl w:val="0"/>
          <w:numId w:val="4"/>
        </w:numPr>
        <w:spacing w:line="240" w:lineRule="auto"/>
        <w:ind w:left="567" w:hanging="283"/>
        <w:jc w:val="both"/>
        <w:rPr>
          <w:rFonts w:asciiTheme="minorHAnsi" w:hAnsiTheme="minorHAnsi" w:cstheme="minorHAnsi"/>
          <w:sz w:val="22"/>
          <w:lang w:val="en-US"/>
        </w:rPr>
      </w:pPr>
      <w:r w:rsidRPr="00C71AED">
        <w:rPr>
          <w:rFonts w:asciiTheme="minorHAnsi" w:hAnsiTheme="minorHAnsi" w:cstheme="minorHAnsi"/>
          <w:sz w:val="22"/>
          <w:lang w:val="en-US"/>
        </w:rPr>
        <w:t xml:space="preserve">up to 70% of the Bonds (namely up to 210,000 Bonds in the event of full subscription of the CBL, i.e. issue of 300,000 Bonds) will be allocated among Professional Investors and Retail Investors.  </w:t>
      </w:r>
    </w:p>
    <w:p w14:paraId="7A412BB2" w14:textId="77777777" w:rsidR="00640911" w:rsidRPr="00C71AED" w:rsidRDefault="00640911" w:rsidP="00640911">
      <w:pPr>
        <w:spacing w:line="240" w:lineRule="auto"/>
        <w:jc w:val="both"/>
        <w:rPr>
          <w:rFonts w:asciiTheme="minorHAnsi" w:hAnsiTheme="minorHAnsi" w:cstheme="minorHAnsi"/>
          <w:sz w:val="22"/>
          <w:lang w:val="en-US"/>
        </w:rPr>
      </w:pPr>
      <w:r w:rsidRPr="00C71AED">
        <w:rPr>
          <w:rFonts w:asciiTheme="minorHAnsi" w:hAnsiTheme="minorHAnsi" w:cstheme="minorHAnsi"/>
          <w:sz w:val="22"/>
          <w:lang w:val="en-US"/>
        </w:rPr>
        <w:t xml:space="preserve">As long as the subscriptions of Retail Investors for the 30% of the Bonds of the Public Offer have been satisfied, for the final determination of the percentage of allocation to each category of investors, the following will be taken into consideration: </w:t>
      </w:r>
    </w:p>
    <w:p w14:paraId="31363623" w14:textId="67DB67B6" w:rsidR="00640911" w:rsidRPr="00C71AED" w:rsidRDefault="00640911" w:rsidP="00640911">
      <w:pPr>
        <w:spacing w:line="240" w:lineRule="auto"/>
        <w:jc w:val="both"/>
        <w:rPr>
          <w:rFonts w:asciiTheme="minorHAnsi" w:hAnsiTheme="minorHAnsi" w:cstheme="minorHAnsi"/>
          <w:sz w:val="22"/>
          <w:lang w:val="en-US"/>
        </w:rPr>
      </w:pPr>
      <w:r w:rsidRPr="00C71AED">
        <w:rPr>
          <w:rFonts w:asciiTheme="minorHAnsi" w:hAnsiTheme="minorHAnsi" w:cstheme="minorHAnsi"/>
          <w:sz w:val="22"/>
          <w:lang w:val="en-US"/>
        </w:rPr>
        <w:t xml:space="preserve">a) the demand by Professional Investors, b) the demand by the remaining part of the 30% of Retail Investors, c) the number of </w:t>
      </w:r>
      <w:r w:rsidR="00B70754">
        <w:rPr>
          <w:rFonts w:asciiTheme="minorHAnsi" w:hAnsiTheme="minorHAnsi" w:cstheme="minorHAnsi"/>
          <w:sz w:val="22"/>
          <w:lang w:val="en-US"/>
        </w:rPr>
        <w:t xml:space="preserve">Subscription Statements of </w:t>
      </w:r>
      <w:r w:rsidRPr="00C71AED">
        <w:rPr>
          <w:rFonts w:asciiTheme="minorHAnsi" w:hAnsiTheme="minorHAnsi" w:cstheme="minorHAnsi"/>
          <w:sz w:val="22"/>
          <w:lang w:val="en-US"/>
        </w:rPr>
        <w:t xml:space="preserve">Retail Investors, as well as d) the need to create conditions for the smooth trading of the Bonds in the secondary market.  </w:t>
      </w:r>
    </w:p>
    <w:p w14:paraId="07C7BAE7" w14:textId="77777777" w:rsidR="00640911" w:rsidRPr="00C71AED" w:rsidRDefault="00640911" w:rsidP="00640911">
      <w:pPr>
        <w:spacing w:line="240" w:lineRule="auto"/>
        <w:jc w:val="both"/>
        <w:rPr>
          <w:rFonts w:asciiTheme="minorHAnsi" w:hAnsiTheme="minorHAnsi" w:cstheme="minorHAnsi"/>
          <w:i/>
          <w:iCs/>
          <w:sz w:val="22"/>
          <w:lang w:val="en-US"/>
        </w:rPr>
      </w:pPr>
      <w:r w:rsidRPr="00C71AED">
        <w:rPr>
          <w:rFonts w:asciiTheme="minorHAnsi" w:hAnsiTheme="minorHAnsi" w:cstheme="minorHAnsi"/>
          <w:i/>
          <w:iCs/>
          <w:sz w:val="22"/>
          <w:lang w:val="en-US"/>
        </w:rPr>
        <w:t xml:space="preserve">Detailed information on the allocation process is provided in section 4.3.6. “Process of allocation of the Public Offer” of the Prospectus.  </w:t>
      </w:r>
    </w:p>
    <w:p w14:paraId="1459EFC3" w14:textId="77777777" w:rsidR="00640911" w:rsidRPr="00C71AED" w:rsidRDefault="00640911" w:rsidP="00640911">
      <w:pPr>
        <w:pStyle w:val="Heading1"/>
        <w:rPr>
          <w:rFonts w:asciiTheme="minorHAnsi" w:hAnsiTheme="minorHAnsi" w:cstheme="minorHAnsi"/>
        </w:rPr>
      </w:pPr>
      <w:r w:rsidRPr="00C71AED">
        <w:rPr>
          <w:rFonts w:asciiTheme="minorHAnsi" w:hAnsiTheme="minorHAnsi" w:cstheme="minorHAnsi"/>
        </w:rPr>
        <w:t xml:space="preserve">PROSPECTUS AVAILABILITY  </w:t>
      </w:r>
    </w:p>
    <w:p w14:paraId="594FB606" w14:textId="77777777" w:rsidR="00640911" w:rsidRPr="00C71AED" w:rsidRDefault="00640911" w:rsidP="00640911">
      <w:pPr>
        <w:spacing w:after="0" w:line="240" w:lineRule="auto"/>
        <w:jc w:val="both"/>
        <w:rPr>
          <w:rFonts w:asciiTheme="minorHAnsi" w:hAnsiTheme="minorHAnsi" w:cstheme="minorHAnsi"/>
          <w:sz w:val="22"/>
          <w:lang w:val="en-US"/>
        </w:rPr>
      </w:pPr>
      <w:r w:rsidRPr="00C71AED">
        <w:rPr>
          <w:rFonts w:asciiTheme="minorHAnsi" w:hAnsiTheme="minorHAnsi" w:cstheme="minorHAnsi"/>
          <w:sz w:val="22"/>
          <w:lang w:val="en-US"/>
        </w:rPr>
        <w:t xml:space="preserve">Further information about the Company, the Bonds and their offering are included in the Prospectus, only with regard to the compliance with the information requirements for investors, as set out in Regulation (EU) 2017/1129 and Delegated Regulations (EU) 2019/979 and 2019/980, and Greek Law 4706/2020, as in force. </w:t>
      </w:r>
    </w:p>
    <w:p w14:paraId="6206E822" w14:textId="77777777" w:rsidR="00640911" w:rsidRPr="00C71AED" w:rsidRDefault="00640911" w:rsidP="00640911">
      <w:pPr>
        <w:spacing w:after="0" w:line="240" w:lineRule="auto"/>
        <w:jc w:val="both"/>
        <w:rPr>
          <w:rFonts w:asciiTheme="minorHAnsi" w:hAnsiTheme="minorHAnsi" w:cstheme="minorHAnsi"/>
          <w:sz w:val="22"/>
          <w:lang w:val="en-US"/>
        </w:rPr>
      </w:pPr>
    </w:p>
    <w:p w14:paraId="3E044608" w14:textId="77777777" w:rsidR="00640911" w:rsidRPr="00C71AED" w:rsidRDefault="00640911" w:rsidP="00640911">
      <w:pPr>
        <w:spacing w:line="240" w:lineRule="auto"/>
        <w:jc w:val="both"/>
        <w:rPr>
          <w:rFonts w:asciiTheme="minorHAnsi" w:hAnsiTheme="minorHAnsi" w:cstheme="minorHAnsi"/>
          <w:sz w:val="22"/>
          <w:lang w:val="en-US"/>
        </w:rPr>
      </w:pPr>
      <w:r w:rsidRPr="00C71AED">
        <w:rPr>
          <w:rFonts w:asciiTheme="minorHAnsi" w:hAnsiTheme="minorHAnsi" w:cstheme="minorHAnsi"/>
          <w:sz w:val="22"/>
          <w:lang w:val="en-US"/>
        </w:rPr>
        <w:t xml:space="preserve">The Prospectus as approved by the Board of Directors of the Hellenic Capital Market Commission at its meeting on 09.07.2021, is available to investors, pursuant to article 21, para. 2 of Regulation (EU) 2017/1129, in an electronic form, on the following websites: </w:t>
      </w:r>
    </w:p>
    <w:p w14:paraId="44FF670A" w14:textId="77777777" w:rsidR="00640911" w:rsidRPr="00C71AED" w:rsidRDefault="00640911" w:rsidP="00640911">
      <w:pPr>
        <w:pStyle w:val="ListParagraph"/>
        <w:numPr>
          <w:ilvl w:val="0"/>
          <w:numId w:val="6"/>
        </w:numPr>
        <w:shd w:val="clear" w:color="auto" w:fill="FFFFFF"/>
        <w:autoSpaceDE w:val="0"/>
        <w:autoSpaceDN w:val="0"/>
        <w:adjustRightInd w:val="0"/>
        <w:spacing w:before="120" w:after="120" w:line="240" w:lineRule="auto"/>
        <w:ind w:left="426" w:hanging="284"/>
        <w:jc w:val="both"/>
        <w:rPr>
          <w:rStyle w:val="Hyperlink"/>
          <w:rFonts w:asciiTheme="minorHAnsi" w:hAnsiTheme="minorHAnsi" w:cstheme="minorHAnsi"/>
          <w:sz w:val="22"/>
          <w:lang w:val="en-US"/>
        </w:rPr>
      </w:pPr>
      <w:r w:rsidRPr="00C71AED">
        <w:rPr>
          <w:rFonts w:asciiTheme="minorHAnsi" w:hAnsiTheme="minorHAnsi" w:cstheme="minorHAnsi"/>
          <w:sz w:val="22"/>
          <w:lang w:val="en-US"/>
        </w:rPr>
        <w:t xml:space="preserve">Athens Exchange </w:t>
      </w:r>
      <w:hyperlink r:id="rId18" w:history="1">
        <w:r w:rsidRPr="00C71AED">
          <w:rPr>
            <w:rStyle w:val="Hyperlink"/>
            <w:rFonts w:asciiTheme="minorHAnsi" w:hAnsiTheme="minorHAnsi" w:cstheme="minorHAnsi"/>
            <w:sz w:val="22"/>
            <w:lang w:val="en-US"/>
          </w:rPr>
          <w:t>https://www.athexgroup.gr/el/web/guest/companies-new-listings</w:t>
        </w:r>
      </w:hyperlink>
    </w:p>
    <w:p w14:paraId="1520C513" w14:textId="77777777" w:rsidR="00640911" w:rsidRPr="00C71AED" w:rsidRDefault="00640911" w:rsidP="00640911">
      <w:pPr>
        <w:pStyle w:val="ListParagraph"/>
        <w:numPr>
          <w:ilvl w:val="0"/>
          <w:numId w:val="6"/>
        </w:numPr>
        <w:shd w:val="clear" w:color="auto" w:fill="FFFFFF"/>
        <w:autoSpaceDE w:val="0"/>
        <w:autoSpaceDN w:val="0"/>
        <w:adjustRightInd w:val="0"/>
        <w:spacing w:before="120" w:after="120" w:line="240" w:lineRule="auto"/>
        <w:ind w:left="426" w:hanging="284"/>
        <w:jc w:val="both"/>
        <w:rPr>
          <w:rStyle w:val="Hyperlink"/>
          <w:rFonts w:asciiTheme="minorHAnsi" w:hAnsiTheme="minorHAnsi" w:cstheme="minorHAnsi"/>
          <w:sz w:val="22"/>
          <w:lang w:val="en-US"/>
        </w:rPr>
      </w:pPr>
      <w:r w:rsidRPr="00C71AED">
        <w:rPr>
          <w:rFonts w:asciiTheme="minorHAnsi" w:hAnsiTheme="minorHAnsi" w:cstheme="minorHAnsi"/>
          <w:sz w:val="22"/>
          <w:lang w:val="en-US"/>
        </w:rPr>
        <w:t xml:space="preserve">Hellenic Capital Market Commission </w:t>
      </w:r>
      <w:hyperlink r:id="rId19" w:history="1">
        <w:r w:rsidRPr="00C71AED">
          <w:rPr>
            <w:rStyle w:val="Hyperlink"/>
            <w:rFonts w:asciiTheme="minorHAnsi" w:hAnsiTheme="minorHAnsi" w:cstheme="minorHAnsi"/>
            <w:sz w:val="22"/>
            <w:lang w:val="en-US"/>
          </w:rPr>
          <w:t>http://www.hcmc.gr/el_GR/web/portal/elib/deltia</w:t>
        </w:r>
      </w:hyperlink>
    </w:p>
    <w:p w14:paraId="25352699" w14:textId="77777777" w:rsidR="00640911" w:rsidRPr="00C71AED" w:rsidRDefault="00640911" w:rsidP="00640911">
      <w:pPr>
        <w:pStyle w:val="ListParagraph"/>
        <w:numPr>
          <w:ilvl w:val="0"/>
          <w:numId w:val="6"/>
        </w:numPr>
        <w:shd w:val="clear" w:color="auto" w:fill="FFFFFF"/>
        <w:autoSpaceDE w:val="0"/>
        <w:autoSpaceDN w:val="0"/>
        <w:adjustRightInd w:val="0"/>
        <w:spacing w:before="120" w:after="120" w:line="240" w:lineRule="auto"/>
        <w:ind w:left="426" w:hanging="284"/>
        <w:jc w:val="both"/>
        <w:rPr>
          <w:rStyle w:val="Hyperlink"/>
          <w:rFonts w:asciiTheme="minorHAnsi" w:hAnsiTheme="minorHAnsi" w:cstheme="minorHAnsi"/>
          <w:sz w:val="22"/>
          <w:lang w:val="en-US"/>
        </w:rPr>
      </w:pPr>
      <w:r w:rsidRPr="00C71AED">
        <w:rPr>
          <w:rFonts w:asciiTheme="minorHAnsi" w:hAnsiTheme="minorHAnsi" w:cstheme="minorHAnsi"/>
          <w:sz w:val="22"/>
          <w:lang w:val="en-US"/>
        </w:rPr>
        <w:t>The Issuer</w:t>
      </w:r>
      <w:r w:rsidRPr="00C71AED">
        <w:rPr>
          <w:rStyle w:val="Hyperlink"/>
          <w:rFonts w:asciiTheme="minorHAnsi" w:hAnsiTheme="minorHAnsi" w:cstheme="minorHAnsi"/>
          <w:sz w:val="22"/>
          <w:lang w:val="en-US"/>
        </w:rPr>
        <w:t xml:space="preserve"> </w:t>
      </w:r>
      <w:hyperlink r:id="rId20" w:history="1">
        <w:r w:rsidRPr="00C71AED">
          <w:rPr>
            <w:rStyle w:val="Hyperlink"/>
            <w:rFonts w:asciiTheme="minorHAnsi" w:hAnsiTheme="minorHAnsi" w:cstheme="minorHAnsi"/>
            <w:sz w:val="22"/>
            <w:lang w:val="en-US"/>
          </w:rPr>
          <w:t>https://prodea.gr/omologiaka-daneia/</w:t>
        </w:r>
      </w:hyperlink>
    </w:p>
    <w:p w14:paraId="03167402" w14:textId="77777777" w:rsidR="00640911" w:rsidRPr="00C71AED" w:rsidRDefault="00640911" w:rsidP="00640911">
      <w:pPr>
        <w:pStyle w:val="ListParagraph"/>
        <w:numPr>
          <w:ilvl w:val="0"/>
          <w:numId w:val="6"/>
        </w:numPr>
        <w:shd w:val="clear" w:color="auto" w:fill="FFFFFF"/>
        <w:autoSpaceDE w:val="0"/>
        <w:autoSpaceDN w:val="0"/>
        <w:adjustRightInd w:val="0"/>
        <w:spacing w:before="120" w:after="120" w:line="240" w:lineRule="auto"/>
        <w:ind w:left="426" w:hanging="284"/>
        <w:jc w:val="both"/>
        <w:rPr>
          <w:rStyle w:val="Hyperlink"/>
          <w:rFonts w:asciiTheme="minorHAnsi" w:hAnsiTheme="minorHAnsi" w:cstheme="minorHAnsi"/>
          <w:sz w:val="22"/>
          <w:lang w:val="en-US"/>
        </w:rPr>
      </w:pPr>
      <w:r w:rsidRPr="00C71AED">
        <w:rPr>
          <w:rFonts w:asciiTheme="minorHAnsi" w:hAnsiTheme="minorHAnsi" w:cstheme="minorHAnsi"/>
          <w:sz w:val="22"/>
          <w:lang w:val="en-US"/>
        </w:rPr>
        <w:t xml:space="preserve">“Piraeus Bank S.A.” </w:t>
      </w:r>
      <w:r w:rsidRPr="00C71AED">
        <w:rPr>
          <w:rStyle w:val="Hyperlink"/>
          <w:rFonts w:asciiTheme="minorHAnsi" w:hAnsiTheme="minorHAnsi" w:cstheme="minorHAnsi"/>
          <w:sz w:val="22"/>
          <w:lang w:val="en-US"/>
        </w:rPr>
        <w:t>https://www.piraeusholdings.gr/prodea</w:t>
      </w:r>
    </w:p>
    <w:p w14:paraId="0F6D1B97" w14:textId="77777777" w:rsidR="00640911" w:rsidRPr="00336705" w:rsidRDefault="00640911" w:rsidP="00640911">
      <w:pPr>
        <w:pStyle w:val="ListParagraph"/>
        <w:numPr>
          <w:ilvl w:val="0"/>
          <w:numId w:val="6"/>
        </w:numPr>
        <w:shd w:val="clear" w:color="auto" w:fill="FFFFFF"/>
        <w:autoSpaceDE w:val="0"/>
        <w:autoSpaceDN w:val="0"/>
        <w:adjustRightInd w:val="0"/>
        <w:spacing w:before="120" w:after="120" w:line="240" w:lineRule="auto"/>
        <w:ind w:left="426" w:hanging="284"/>
        <w:jc w:val="both"/>
        <w:rPr>
          <w:rFonts w:asciiTheme="minorHAnsi" w:hAnsiTheme="minorHAnsi" w:cstheme="minorHAnsi"/>
          <w:color w:val="0563C1" w:themeColor="hyperlink"/>
          <w:sz w:val="22"/>
          <w:u w:val="single"/>
        </w:rPr>
      </w:pPr>
      <w:r w:rsidRPr="00C71AED">
        <w:rPr>
          <w:rFonts w:asciiTheme="minorHAnsi" w:hAnsiTheme="minorHAnsi" w:cstheme="minorHAnsi"/>
          <w:sz w:val="22"/>
          <w:lang w:val="en-GB"/>
        </w:rPr>
        <w:t>“</w:t>
      </w:r>
      <w:r w:rsidRPr="00C71AED">
        <w:rPr>
          <w:rFonts w:asciiTheme="minorHAnsi" w:hAnsiTheme="minorHAnsi" w:cstheme="minorHAnsi"/>
          <w:sz w:val="22"/>
          <w:lang w:val="en-US"/>
        </w:rPr>
        <w:t>National Bank of Greece S.A.</w:t>
      </w:r>
      <w:r w:rsidRPr="00C71AED">
        <w:rPr>
          <w:rFonts w:asciiTheme="minorHAnsi" w:hAnsiTheme="minorHAnsi" w:cstheme="minorHAnsi"/>
          <w:sz w:val="22"/>
          <w:lang w:val="en-GB"/>
        </w:rPr>
        <w:t xml:space="preserve">” </w:t>
      </w:r>
      <w:hyperlink r:id="rId21" w:history="1">
        <w:r w:rsidRPr="00C71AED">
          <w:rPr>
            <w:rStyle w:val="Hyperlink"/>
            <w:rFonts w:asciiTheme="minorHAnsi" w:hAnsiTheme="minorHAnsi" w:cstheme="minorHAnsi"/>
            <w:sz w:val="22"/>
            <w:lang w:val="en-US"/>
          </w:rPr>
          <w:t>https</w:t>
        </w:r>
        <w:r w:rsidRPr="00336705">
          <w:rPr>
            <w:rStyle w:val="Hyperlink"/>
            <w:rFonts w:asciiTheme="minorHAnsi" w:hAnsiTheme="minorHAnsi" w:cstheme="minorHAnsi"/>
            <w:sz w:val="22"/>
          </w:rPr>
          <w:t>://</w:t>
        </w:r>
        <w:r w:rsidRPr="00C71AED">
          <w:rPr>
            <w:rStyle w:val="Hyperlink"/>
            <w:rFonts w:asciiTheme="minorHAnsi" w:hAnsiTheme="minorHAnsi" w:cstheme="minorHAnsi"/>
            <w:sz w:val="22"/>
            <w:lang w:val="en-US"/>
          </w:rPr>
          <w:t>www</w:t>
        </w:r>
        <w:r w:rsidRPr="00336705">
          <w:rPr>
            <w:rStyle w:val="Hyperlink"/>
            <w:rFonts w:asciiTheme="minorHAnsi" w:hAnsiTheme="minorHAnsi" w:cstheme="minorHAnsi"/>
            <w:sz w:val="22"/>
          </w:rPr>
          <w:t>.</w:t>
        </w:r>
        <w:r w:rsidRPr="00C71AED">
          <w:rPr>
            <w:rStyle w:val="Hyperlink"/>
            <w:rFonts w:asciiTheme="minorHAnsi" w:hAnsiTheme="minorHAnsi" w:cstheme="minorHAnsi"/>
            <w:sz w:val="22"/>
            <w:lang w:val="en-US"/>
          </w:rPr>
          <w:t>nbg</w:t>
        </w:r>
        <w:r w:rsidRPr="00336705">
          <w:rPr>
            <w:rStyle w:val="Hyperlink"/>
            <w:rFonts w:asciiTheme="minorHAnsi" w:hAnsiTheme="minorHAnsi" w:cstheme="minorHAnsi"/>
            <w:sz w:val="22"/>
          </w:rPr>
          <w:t>.</w:t>
        </w:r>
        <w:r w:rsidRPr="00C71AED">
          <w:rPr>
            <w:rStyle w:val="Hyperlink"/>
            <w:rFonts w:asciiTheme="minorHAnsi" w:hAnsiTheme="minorHAnsi" w:cstheme="minorHAnsi"/>
            <w:sz w:val="22"/>
            <w:lang w:val="en-US"/>
          </w:rPr>
          <w:t>gr</w:t>
        </w:r>
        <w:r w:rsidRPr="00336705">
          <w:rPr>
            <w:rStyle w:val="Hyperlink"/>
            <w:rFonts w:asciiTheme="minorHAnsi" w:hAnsiTheme="minorHAnsi" w:cstheme="minorHAnsi"/>
            <w:sz w:val="22"/>
          </w:rPr>
          <w:t>/</w:t>
        </w:r>
        <w:r w:rsidRPr="00C71AED">
          <w:rPr>
            <w:rStyle w:val="Hyperlink"/>
            <w:rFonts w:asciiTheme="minorHAnsi" w:hAnsiTheme="minorHAnsi" w:cstheme="minorHAnsi"/>
            <w:sz w:val="22"/>
            <w:lang w:val="en-US"/>
          </w:rPr>
          <w:t>el</w:t>
        </w:r>
        <w:r w:rsidRPr="00336705">
          <w:rPr>
            <w:rStyle w:val="Hyperlink"/>
            <w:rFonts w:asciiTheme="minorHAnsi" w:hAnsiTheme="minorHAnsi" w:cstheme="minorHAnsi"/>
            <w:sz w:val="22"/>
          </w:rPr>
          <w:t>/</w:t>
        </w:r>
        <w:r w:rsidRPr="00C71AED">
          <w:rPr>
            <w:rStyle w:val="Hyperlink"/>
            <w:rFonts w:asciiTheme="minorHAnsi" w:hAnsiTheme="minorHAnsi" w:cstheme="minorHAnsi"/>
            <w:sz w:val="22"/>
            <w:lang w:val="en-US"/>
          </w:rPr>
          <w:t>retail</w:t>
        </w:r>
        <w:r w:rsidRPr="00336705">
          <w:rPr>
            <w:rStyle w:val="Hyperlink"/>
            <w:rFonts w:asciiTheme="minorHAnsi" w:hAnsiTheme="minorHAnsi" w:cstheme="minorHAnsi"/>
            <w:sz w:val="22"/>
          </w:rPr>
          <w:t>/</w:t>
        </w:r>
        <w:r w:rsidRPr="00C71AED">
          <w:rPr>
            <w:rStyle w:val="Hyperlink"/>
            <w:rFonts w:asciiTheme="minorHAnsi" w:hAnsiTheme="minorHAnsi" w:cstheme="minorHAnsi"/>
            <w:sz w:val="22"/>
            <w:lang w:val="en-US"/>
          </w:rPr>
          <w:t>investment</w:t>
        </w:r>
        <w:r w:rsidRPr="00336705">
          <w:rPr>
            <w:rStyle w:val="Hyperlink"/>
            <w:rFonts w:asciiTheme="minorHAnsi" w:hAnsiTheme="minorHAnsi" w:cstheme="minorHAnsi"/>
            <w:sz w:val="22"/>
          </w:rPr>
          <w:t>-</w:t>
        </w:r>
        <w:r w:rsidRPr="00C71AED">
          <w:rPr>
            <w:rStyle w:val="Hyperlink"/>
            <w:rFonts w:asciiTheme="minorHAnsi" w:hAnsiTheme="minorHAnsi" w:cstheme="minorHAnsi"/>
            <w:sz w:val="22"/>
            <w:lang w:val="en-US"/>
          </w:rPr>
          <w:t>products</w:t>
        </w:r>
        <w:r w:rsidRPr="00336705">
          <w:rPr>
            <w:rStyle w:val="Hyperlink"/>
            <w:rFonts w:asciiTheme="minorHAnsi" w:hAnsiTheme="minorHAnsi" w:cstheme="minorHAnsi"/>
            <w:sz w:val="22"/>
          </w:rPr>
          <w:t>/</w:t>
        </w:r>
        <w:r w:rsidRPr="00C71AED">
          <w:rPr>
            <w:rStyle w:val="Hyperlink"/>
            <w:rFonts w:asciiTheme="minorHAnsi" w:hAnsiTheme="minorHAnsi" w:cstheme="minorHAnsi"/>
            <w:sz w:val="22"/>
            <w:lang w:val="en-US"/>
          </w:rPr>
          <w:t>enimerotika</w:t>
        </w:r>
        <w:r w:rsidRPr="00336705">
          <w:rPr>
            <w:rStyle w:val="Hyperlink"/>
            <w:rFonts w:asciiTheme="minorHAnsi" w:hAnsiTheme="minorHAnsi" w:cstheme="minorHAnsi"/>
            <w:sz w:val="22"/>
          </w:rPr>
          <w:t>-</w:t>
        </w:r>
        <w:r w:rsidRPr="00C71AED">
          <w:rPr>
            <w:rStyle w:val="Hyperlink"/>
            <w:rFonts w:asciiTheme="minorHAnsi" w:hAnsiTheme="minorHAnsi" w:cstheme="minorHAnsi"/>
            <w:sz w:val="22"/>
            <w:lang w:val="en-US"/>
          </w:rPr>
          <w:t>deltia</w:t>
        </w:r>
        <w:r w:rsidRPr="00336705">
          <w:rPr>
            <w:rStyle w:val="Hyperlink"/>
            <w:rFonts w:asciiTheme="minorHAnsi" w:hAnsiTheme="minorHAnsi" w:cstheme="minorHAnsi"/>
            <w:sz w:val="22"/>
          </w:rPr>
          <w:t>/</w:t>
        </w:r>
        <w:r w:rsidRPr="00C71AED">
          <w:rPr>
            <w:rStyle w:val="Hyperlink"/>
            <w:rFonts w:asciiTheme="minorHAnsi" w:hAnsiTheme="minorHAnsi" w:cstheme="minorHAnsi"/>
            <w:sz w:val="22"/>
            <w:lang w:val="en-US"/>
          </w:rPr>
          <w:t>deltia</w:t>
        </w:r>
        <w:r w:rsidRPr="00336705">
          <w:rPr>
            <w:rStyle w:val="Hyperlink"/>
            <w:rFonts w:asciiTheme="minorHAnsi" w:hAnsiTheme="minorHAnsi" w:cstheme="minorHAnsi"/>
            <w:sz w:val="22"/>
          </w:rPr>
          <w:t>-</w:t>
        </w:r>
        <w:r w:rsidRPr="00C71AED">
          <w:rPr>
            <w:rStyle w:val="Hyperlink"/>
            <w:rFonts w:asciiTheme="minorHAnsi" w:hAnsiTheme="minorHAnsi" w:cstheme="minorHAnsi"/>
            <w:sz w:val="22"/>
            <w:lang w:val="en-US"/>
          </w:rPr>
          <w:t>epihirisewn</w:t>
        </w:r>
      </w:hyperlink>
    </w:p>
    <w:p w14:paraId="67C81F6F" w14:textId="77777777" w:rsidR="00640911" w:rsidRPr="00C71AED" w:rsidRDefault="00640911" w:rsidP="00640911">
      <w:pPr>
        <w:pStyle w:val="ListParagraph"/>
        <w:numPr>
          <w:ilvl w:val="0"/>
          <w:numId w:val="6"/>
        </w:numPr>
        <w:shd w:val="clear" w:color="auto" w:fill="FFFFFF"/>
        <w:autoSpaceDE w:val="0"/>
        <w:autoSpaceDN w:val="0"/>
        <w:adjustRightInd w:val="0"/>
        <w:spacing w:before="120" w:after="120" w:line="240" w:lineRule="auto"/>
        <w:ind w:left="426" w:hanging="284"/>
        <w:jc w:val="both"/>
        <w:rPr>
          <w:rStyle w:val="Hyperlink"/>
          <w:rFonts w:asciiTheme="minorHAnsi" w:hAnsiTheme="minorHAnsi" w:cstheme="minorHAnsi"/>
          <w:sz w:val="22"/>
          <w:lang w:val="en-US"/>
        </w:rPr>
      </w:pPr>
      <w:r w:rsidRPr="00C71AED">
        <w:rPr>
          <w:rFonts w:asciiTheme="minorHAnsi" w:hAnsiTheme="minorHAnsi" w:cstheme="minorHAnsi"/>
          <w:sz w:val="22"/>
          <w:lang w:val="en-US"/>
        </w:rPr>
        <w:t xml:space="preserve">“Alpha Bank S.A.” </w:t>
      </w:r>
      <w:hyperlink r:id="rId22" w:history="1">
        <w:r w:rsidRPr="00C71AED">
          <w:rPr>
            <w:rStyle w:val="Hyperlink"/>
            <w:rFonts w:asciiTheme="minorHAnsi" w:hAnsiTheme="minorHAnsi" w:cstheme="minorHAnsi"/>
            <w:sz w:val="22"/>
            <w:lang w:val="en-US"/>
          </w:rPr>
          <w:t>https://www.alpha.gr/el/idiotes/ependuseis/xrimatistiriakes-upiresies/enimerotika-deltia</w:t>
        </w:r>
      </w:hyperlink>
    </w:p>
    <w:p w14:paraId="036AE348" w14:textId="77777777" w:rsidR="00640911" w:rsidRPr="00C71AED" w:rsidRDefault="00640911" w:rsidP="00640911">
      <w:pPr>
        <w:pStyle w:val="ListParagraph"/>
        <w:numPr>
          <w:ilvl w:val="0"/>
          <w:numId w:val="6"/>
        </w:numPr>
        <w:shd w:val="clear" w:color="auto" w:fill="FFFFFF"/>
        <w:autoSpaceDE w:val="0"/>
        <w:autoSpaceDN w:val="0"/>
        <w:adjustRightInd w:val="0"/>
        <w:spacing w:before="120" w:after="120" w:line="240" w:lineRule="auto"/>
        <w:ind w:left="426" w:hanging="284"/>
        <w:jc w:val="both"/>
        <w:rPr>
          <w:rStyle w:val="Hyperlink"/>
          <w:rFonts w:asciiTheme="minorHAnsi" w:hAnsiTheme="minorHAnsi" w:cstheme="minorHAnsi"/>
          <w:sz w:val="22"/>
          <w:lang w:val="en-US"/>
        </w:rPr>
      </w:pPr>
      <w:r w:rsidRPr="00C71AED">
        <w:rPr>
          <w:rFonts w:asciiTheme="minorHAnsi" w:hAnsiTheme="minorHAnsi" w:cstheme="minorHAnsi"/>
          <w:sz w:val="22"/>
          <w:lang w:val="en-GB"/>
        </w:rPr>
        <w:t xml:space="preserve">“Eurobank S.A.”  </w:t>
      </w:r>
      <w:bookmarkStart w:id="9" w:name="_Hlk65503447"/>
      <w:r w:rsidRPr="00C71AED">
        <w:rPr>
          <w:rStyle w:val="Hyperlink"/>
          <w:rFonts w:asciiTheme="minorHAnsi" w:hAnsiTheme="minorHAnsi" w:cstheme="minorHAnsi"/>
          <w:sz w:val="22"/>
        </w:rPr>
        <w:fldChar w:fldCharType="begin"/>
      </w:r>
      <w:r w:rsidRPr="00C71AED">
        <w:rPr>
          <w:rStyle w:val="Hyperlink"/>
          <w:rFonts w:asciiTheme="minorHAnsi" w:hAnsiTheme="minorHAnsi" w:cstheme="minorHAnsi"/>
          <w:sz w:val="22"/>
          <w:lang w:val="en-US"/>
        </w:rPr>
        <w:instrText xml:space="preserve"> HYPERLINK "https://www.eurobank.gr/el/omilos/enimerosi-ependuton/enimerotika-deltia/enimerotika-deltia-sumboulos-anadoxos-trapeza-eurobank-ergasias-ae" </w:instrText>
      </w:r>
      <w:r w:rsidRPr="00C71AED">
        <w:rPr>
          <w:rStyle w:val="Hyperlink"/>
          <w:rFonts w:asciiTheme="minorHAnsi" w:hAnsiTheme="minorHAnsi" w:cstheme="minorHAnsi"/>
          <w:sz w:val="22"/>
        </w:rPr>
        <w:fldChar w:fldCharType="separate"/>
      </w:r>
      <w:r w:rsidRPr="00C71AED">
        <w:rPr>
          <w:rStyle w:val="Hyperlink"/>
          <w:rFonts w:asciiTheme="minorHAnsi" w:hAnsiTheme="minorHAnsi" w:cstheme="minorHAnsi"/>
          <w:sz w:val="22"/>
          <w:lang w:val="en-US"/>
        </w:rPr>
        <w:t>https://www.eurobank.gr/el/omilos/enimerosi-ependuton/enimerotika-deltia/enimerotika-deltia-sumboulos-anadoxos-trapeza-eurobank-ergasias-ae</w:t>
      </w:r>
      <w:r w:rsidRPr="00C71AED">
        <w:rPr>
          <w:rStyle w:val="Hyperlink"/>
          <w:rFonts w:asciiTheme="minorHAnsi" w:hAnsiTheme="minorHAnsi" w:cstheme="minorHAnsi"/>
          <w:sz w:val="22"/>
        </w:rPr>
        <w:fldChar w:fldCharType="end"/>
      </w:r>
      <w:bookmarkEnd w:id="9"/>
    </w:p>
    <w:p w14:paraId="369E0198" w14:textId="0D0C1FD4" w:rsidR="00640911" w:rsidRPr="00C71AED" w:rsidRDefault="00640911" w:rsidP="00640911">
      <w:pPr>
        <w:pStyle w:val="ListParagraph"/>
        <w:numPr>
          <w:ilvl w:val="0"/>
          <w:numId w:val="6"/>
        </w:numPr>
        <w:shd w:val="clear" w:color="auto" w:fill="FFFFFF"/>
        <w:autoSpaceDE w:val="0"/>
        <w:autoSpaceDN w:val="0"/>
        <w:adjustRightInd w:val="0"/>
        <w:spacing w:before="120" w:after="120" w:line="240" w:lineRule="auto"/>
        <w:ind w:left="426" w:hanging="284"/>
        <w:jc w:val="both"/>
        <w:rPr>
          <w:rStyle w:val="Hyperlink"/>
          <w:rFonts w:asciiTheme="minorHAnsi" w:hAnsiTheme="minorHAnsi" w:cstheme="minorHAnsi"/>
          <w:sz w:val="22"/>
          <w:lang w:val="en-US"/>
        </w:rPr>
      </w:pPr>
      <w:r w:rsidRPr="00C71AED">
        <w:rPr>
          <w:rFonts w:asciiTheme="minorHAnsi" w:hAnsiTheme="minorHAnsi" w:cstheme="minorHAnsi"/>
          <w:sz w:val="22"/>
          <w:lang w:val="en-US"/>
        </w:rPr>
        <w:lastRenderedPageBreak/>
        <w:t xml:space="preserve">“Optima Bank” </w:t>
      </w:r>
      <w:hyperlink r:id="rId23" w:history="1">
        <w:r w:rsidR="00336705" w:rsidRPr="00336705">
          <w:rPr>
            <w:rStyle w:val="Hyperlink"/>
            <w:rFonts w:asciiTheme="majorHAnsi" w:hAnsiTheme="majorHAnsi" w:cstheme="majorHAnsi"/>
            <w:lang w:val="en-US"/>
          </w:rPr>
          <w:t>https</w:t>
        </w:r>
        <w:r w:rsidR="00336705" w:rsidRPr="00491192">
          <w:rPr>
            <w:rStyle w:val="Hyperlink"/>
            <w:rFonts w:asciiTheme="majorHAnsi" w:hAnsiTheme="majorHAnsi" w:cstheme="majorHAnsi"/>
            <w:lang w:val="en-GB"/>
          </w:rPr>
          <w:t>://</w:t>
        </w:r>
        <w:r w:rsidR="00336705" w:rsidRPr="00336705">
          <w:rPr>
            <w:rStyle w:val="Hyperlink"/>
            <w:rFonts w:asciiTheme="majorHAnsi" w:hAnsiTheme="majorHAnsi" w:cstheme="majorHAnsi"/>
            <w:lang w:val="en-US"/>
          </w:rPr>
          <w:t>www</w:t>
        </w:r>
        <w:r w:rsidR="00336705" w:rsidRPr="00491192">
          <w:rPr>
            <w:rStyle w:val="Hyperlink"/>
            <w:rFonts w:asciiTheme="majorHAnsi" w:hAnsiTheme="majorHAnsi" w:cstheme="majorHAnsi"/>
            <w:lang w:val="en-GB"/>
          </w:rPr>
          <w:t>.</w:t>
        </w:r>
        <w:r w:rsidR="00336705" w:rsidRPr="00336705">
          <w:rPr>
            <w:rStyle w:val="Hyperlink"/>
            <w:rFonts w:asciiTheme="majorHAnsi" w:hAnsiTheme="majorHAnsi" w:cstheme="majorHAnsi"/>
            <w:lang w:val="en-US"/>
          </w:rPr>
          <w:t>optimabank</w:t>
        </w:r>
        <w:r w:rsidR="00336705" w:rsidRPr="00491192">
          <w:rPr>
            <w:rStyle w:val="Hyperlink"/>
            <w:rFonts w:asciiTheme="majorHAnsi" w:hAnsiTheme="majorHAnsi" w:cstheme="majorHAnsi"/>
            <w:lang w:val="en-GB"/>
          </w:rPr>
          <w:t>.</w:t>
        </w:r>
        <w:r w:rsidR="00336705" w:rsidRPr="00336705">
          <w:rPr>
            <w:rStyle w:val="Hyperlink"/>
            <w:rFonts w:asciiTheme="majorHAnsi" w:hAnsiTheme="majorHAnsi" w:cstheme="majorHAnsi"/>
            <w:lang w:val="en-US"/>
          </w:rPr>
          <w:t>gr</w:t>
        </w:r>
        <w:r w:rsidR="00336705" w:rsidRPr="00491192">
          <w:rPr>
            <w:rStyle w:val="Hyperlink"/>
            <w:rFonts w:asciiTheme="majorHAnsi" w:hAnsiTheme="majorHAnsi" w:cstheme="majorHAnsi"/>
            <w:lang w:val="en-GB"/>
          </w:rPr>
          <w:t>/</w:t>
        </w:r>
        <w:r w:rsidR="00336705" w:rsidRPr="00336705">
          <w:rPr>
            <w:rStyle w:val="Hyperlink"/>
            <w:rFonts w:asciiTheme="majorHAnsi" w:hAnsiTheme="majorHAnsi" w:cstheme="majorHAnsi"/>
            <w:lang w:val="en-US"/>
          </w:rPr>
          <w:t>business</w:t>
        </w:r>
        <w:r w:rsidR="00336705" w:rsidRPr="00491192">
          <w:rPr>
            <w:rStyle w:val="Hyperlink"/>
            <w:rFonts w:asciiTheme="majorHAnsi" w:hAnsiTheme="majorHAnsi" w:cstheme="majorHAnsi"/>
            <w:lang w:val="en-GB"/>
          </w:rPr>
          <w:t>/</w:t>
        </w:r>
        <w:r w:rsidR="00336705" w:rsidRPr="00336705">
          <w:rPr>
            <w:rStyle w:val="Hyperlink"/>
            <w:rFonts w:asciiTheme="majorHAnsi" w:hAnsiTheme="majorHAnsi" w:cstheme="majorHAnsi"/>
            <w:lang w:val="en-US"/>
          </w:rPr>
          <w:t>investment</w:t>
        </w:r>
        <w:r w:rsidR="00336705" w:rsidRPr="00491192">
          <w:rPr>
            <w:rStyle w:val="Hyperlink"/>
            <w:rFonts w:asciiTheme="majorHAnsi" w:hAnsiTheme="majorHAnsi" w:cstheme="majorHAnsi"/>
            <w:lang w:val="en-GB"/>
          </w:rPr>
          <w:t>-</w:t>
        </w:r>
        <w:r w:rsidR="00336705" w:rsidRPr="00336705">
          <w:rPr>
            <w:rStyle w:val="Hyperlink"/>
            <w:rFonts w:asciiTheme="majorHAnsi" w:hAnsiTheme="majorHAnsi" w:cstheme="majorHAnsi"/>
            <w:lang w:val="en-US"/>
          </w:rPr>
          <w:t>banking</w:t>
        </w:r>
        <w:r w:rsidR="00336705" w:rsidRPr="00491192">
          <w:rPr>
            <w:rStyle w:val="Hyperlink"/>
            <w:rFonts w:asciiTheme="majorHAnsi" w:hAnsiTheme="majorHAnsi" w:cstheme="majorHAnsi"/>
            <w:lang w:val="en-GB"/>
          </w:rPr>
          <w:t>/</w:t>
        </w:r>
        <w:r w:rsidR="00336705" w:rsidRPr="00336705">
          <w:rPr>
            <w:rStyle w:val="Hyperlink"/>
            <w:rFonts w:asciiTheme="majorHAnsi" w:hAnsiTheme="majorHAnsi" w:cstheme="majorHAnsi"/>
            <w:lang w:val="en-US"/>
          </w:rPr>
          <w:t>enimerotika</w:t>
        </w:r>
        <w:r w:rsidR="00336705" w:rsidRPr="00491192">
          <w:rPr>
            <w:rStyle w:val="Hyperlink"/>
            <w:rFonts w:asciiTheme="majorHAnsi" w:hAnsiTheme="majorHAnsi" w:cstheme="majorHAnsi"/>
            <w:lang w:val="en-GB"/>
          </w:rPr>
          <w:t>-</w:t>
        </w:r>
        <w:r w:rsidR="00336705" w:rsidRPr="00336705">
          <w:rPr>
            <w:rStyle w:val="Hyperlink"/>
            <w:rFonts w:asciiTheme="majorHAnsi" w:hAnsiTheme="majorHAnsi" w:cstheme="majorHAnsi"/>
            <w:lang w:val="en-US"/>
          </w:rPr>
          <w:t>pliroforiaka</w:t>
        </w:r>
        <w:r w:rsidR="00336705" w:rsidRPr="00491192">
          <w:rPr>
            <w:rStyle w:val="Hyperlink"/>
            <w:rFonts w:asciiTheme="majorHAnsi" w:hAnsiTheme="majorHAnsi" w:cstheme="majorHAnsi"/>
            <w:lang w:val="en-GB"/>
          </w:rPr>
          <w:t>-</w:t>
        </w:r>
        <w:r w:rsidR="00336705" w:rsidRPr="00336705">
          <w:rPr>
            <w:rStyle w:val="Hyperlink"/>
            <w:rFonts w:asciiTheme="majorHAnsi" w:hAnsiTheme="majorHAnsi" w:cstheme="majorHAnsi"/>
            <w:lang w:val="en-US"/>
          </w:rPr>
          <w:t>deltia</w:t>
        </w:r>
      </w:hyperlink>
    </w:p>
    <w:p w14:paraId="66B00626" w14:textId="77777777" w:rsidR="00640911" w:rsidRPr="00C71AED" w:rsidRDefault="00640911" w:rsidP="00640911">
      <w:pPr>
        <w:pStyle w:val="ListParagraph"/>
        <w:numPr>
          <w:ilvl w:val="0"/>
          <w:numId w:val="6"/>
        </w:numPr>
        <w:shd w:val="clear" w:color="auto" w:fill="FFFFFF"/>
        <w:autoSpaceDE w:val="0"/>
        <w:autoSpaceDN w:val="0"/>
        <w:adjustRightInd w:val="0"/>
        <w:spacing w:before="120" w:after="120" w:line="240" w:lineRule="auto"/>
        <w:ind w:left="426" w:hanging="284"/>
        <w:jc w:val="both"/>
        <w:rPr>
          <w:rFonts w:asciiTheme="minorHAnsi" w:hAnsiTheme="minorHAnsi" w:cstheme="minorHAnsi"/>
          <w:sz w:val="22"/>
          <w:lang w:val="en-US"/>
        </w:rPr>
      </w:pPr>
      <w:r w:rsidRPr="00C71AED">
        <w:rPr>
          <w:rFonts w:asciiTheme="minorHAnsi" w:hAnsiTheme="minorHAnsi" w:cstheme="minorHAnsi"/>
          <w:sz w:val="22"/>
          <w:lang w:val="en-US"/>
        </w:rPr>
        <w:t xml:space="preserve">“Euroxx Securities S.A.” </w:t>
      </w:r>
      <w:r w:rsidRPr="00C71AED">
        <w:rPr>
          <w:rStyle w:val="Hyperlink"/>
          <w:rFonts w:asciiTheme="minorHAnsi" w:hAnsiTheme="minorHAnsi" w:cstheme="minorHAnsi"/>
          <w:sz w:val="22"/>
          <w:lang w:val="en-US"/>
        </w:rPr>
        <w:t>https://www.euroxx.gr/gr/content/article/prodea</w:t>
      </w:r>
    </w:p>
    <w:p w14:paraId="09E8C928" w14:textId="77777777" w:rsidR="00640911" w:rsidRPr="00C71AED" w:rsidRDefault="00640911" w:rsidP="00640911">
      <w:pPr>
        <w:jc w:val="both"/>
        <w:rPr>
          <w:rFonts w:asciiTheme="minorHAnsi" w:hAnsiTheme="minorHAnsi" w:cstheme="minorHAnsi"/>
          <w:sz w:val="22"/>
          <w:lang w:val="en-US"/>
        </w:rPr>
      </w:pPr>
      <w:r w:rsidRPr="00C71AED">
        <w:rPr>
          <w:rFonts w:asciiTheme="minorHAnsi" w:hAnsiTheme="minorHAnsi" w:cstheme="minorHAnsi"/>
          <w:sz w:val="22"/>
          <w:lang w:val="en-US"/>
        </w:rPr>
        <w:t xml:space="preserve">Moreover, throughout the term of the Public Offer, the Prospectus, if requested, shall be available to investors in hardcopy, free of charge, at the Company's Headquarters, 9 Chrysospiliotissis Str., 105 60, Athens, at the branches and offices of the Joint Coordinators and Bookrunners, “Piraeus Bank S.A.” (4 Amerikis Str., 105 64, Athens, 210 3288000), “National Bank of Greece S.A.” (86 Aiolou Str., 105 59, Athens, tel. 2103337000), “Alpha Bank S.A.” (40 Stadiou Str., 102 52, Athens, tel.  210 3260000) and “Eurobank” (8 Othonos Str., 105 57, tel. 210 3720064), as well as the Lead Underwriters “OPTIMA BANK” (Aigialeias 32, Maroussi, 151 25, tel. 210 8173000), and Euroxx Securities S.A.” (7 Palaiologou Str., 152 32, Chalandri, tel. 210 6879400). </w:t>
      </w:r>
    </w:p>
    <w:p w14:paraId="4279C5D8" w14:textId="77777777" w:rsidR="00640911" w:rsidRPr="00C71AED" w:rsidRDefault="00640911" w:rsidP="00640911">
      <w:pPr>
        <w:jc w:val="both"/>
        <w:rPr>
          <w:rFonts w:asciiTheme="minorHAnsi" w:hAnsiTheme="minorHAnsi" w:cstheme="minorHAnsi"/>
          <w:sz w:val="22"/>
          <w:lang w:val="en-US"/>
        </w:rPr>
      </w:pPr>
      <w:r w:rsidRPr="00C71AED">
        <w:rPr>
          <w:rFonts w:asciiTheme="minorHAnsi" w:hAnsiTheme="minorHAnsi" w:cstheme="minorHAnsi"/>
          <w:sz w:val="22"/>
          <w:lang w:val="en-US"/>
        </w:rPr>
        <w:t>For more information, investors may contact during working hours the Company’s Headquarters, at 9 Chrysospiliotissis Str., 105 60, Athens (direct line: + 30 213 3334000).</w:t>
      </w:r>
    </w:p>
    <w:p w14:paraId="7206BDA4" w14:textId="77777777" w:rsidR="00421FC0" w:rsidRPr="001C105A" w:rsidRDefault="00421FC0" w:rsidP="00421FC0">
      <w:pPr>
        <w:rPr>
          <w:rFonts w:asciiTheme="minorHAnsi" w:hAnsiTheme="minorHAnsi" w:cstheme="minorHAnsi"/>
          <w:sz w:val="22"/>
          <w:lang w:val="en-US"/>
        </w:rPr>
      </w:pPr>
    </w:p>
    <w:bookmarkEnd w:id="8"/>
    <w:p w14:paraId="746C5E20" w14:textId="132C1D11" w:rsidR="00640911" w:rsidRPr="00C71AED" w:rsidRDefault="00640911" w:rsidP="00640911">
      <w:pPr>
        <w:jc w:val="center"/>
        <w:rPr>
          <w:rFonts w:asciiTheme="minorHAnsi" w:hAnsiTheme="minorHAnsi" w:cstheme="minorHAnsi"/>
          <w:b/>
          <w:bCs/>
          <w:sz w:val="22"/>
          <w:lang w:val="en-US"/>
        </w:rPr>
      </w:pPr>
      <w:r w:rsidRPr="00C71AED">
        <w:rPr>
          <w:rFonts w:asciiTheme="minorHAnsi" w:hAnsiTheme="minorHAnsi" w:cstheme="minorHAnsi"/>
          <w:b/>
          <w:bCs/>
          <w:sz w:val="22"/>
          <w:lang w:val="en-US"/>
        </w:rPr>
        <w:t xml:space="preserve">Athens, </w:t>
      </w:r>
      <w:r>
        <w:rPr>
          <w:rFonts w:asciiTheme="minorHAnsi" w:hAnsiTheme="minorHAnsi" w:cstheme="minorHAnsi"/>
          <w:b/>
          <w:bCs/>
          <w:sz w:val="22"/>
          <w:lang w:val="en-US"/>
        </w:rPr>
        <w:t>13</w:t>
      </w:r>
      <w:r w:rsidRPr="00C71AED">
        <w:rPr>
          <w:rFonts w:asciiTheme="minorHAnsi" w:hAnsiTheme="minorHAnsi" w:cstheme="minorHAnsi"/>
          <w:b/>
          <w:bCs/>
          <w:sz w:val="22"/>
          <w:lang w:val="en-US"/>
        </w:rPr>
        <w:t xml:space="preserve"> July 2021</w:t>
      </w:r>
    </w:p>
    <w:p w14:paraId="7C63E097" w14:textId="77777777" w:rsidR="00640911" w:rsidRPr="00C71AED" w:rsidRDefault="00640911" w:rsidP="00640911">
      <w:pPr>
        <w:jc w:val="center"/>
        <w:rPr>
          <w:rFonts w:asciiTheme="minorHAnsi" w:hAnsiTheme="minorHAnsi" w:cstheme="minorHAnsi"/>
          <w:b/>
          <w:bCs/>
          <w:sz w:val="22"/>
          <w:lang w:val="en-US"/>
        </w:rPr>
      </w:pPr>
      <w:r w:rsidRPr="00C71AED">
        <w:rPr>
          <w:rFonts w:asciiTheme="minorHAnsi" w:hAnsiTheme="minorHAnsi" w:cstheme="minorHAnsi"/>
          <w:b/>
          <w:bCs/>
          <w:sz w:val="22"/>
          <w:lang w:val="en-US"/>
        </w:rPr>
        <w:t>PRODEA INVESTMENTS</w:t>
      </w:r>
    </w:p>
    <w:p w14:paraId="5A7A8A86" w14:textId="21D49BDE" w:rsidR="002C189D" w:rsidRPr="001C105A" w:rsidRDefault="002C189D" w:rsidP="00640911">
      <w:pPr>
        <w:jc w:val="center"/>
        <w:rPr>
          <w:rFonts w:asciiTheme="minorHAnsi" w:hAnsiTheme="minorHAnsi" w:cstheme="minorHAnsi"/>
          <w:b/>
          <w:bCs/>
          <w:sz w:val="22"/>
          <w:lang w:val="en-US"/>
        </w:rPr>
      </w:pPr>
    </w:p>
    <w:sectPr w:rsidR="002C189D" w:rsidRPr="001C105A" w:rsidSect="007E0101">
      <w:footerReference w:type="default" r:id="rId2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5CF830" w14:textId="77777777" w:rsidR="00F9755B" w:rsidRDefault="00F9755B" w:rsidP="005F33D2">
      <w:pPr>
        <w:spacing w:after="0" w:line="240" w:lineRule="auto"/>
      </w:pPr>
      <w:r>
        <w:separator/>
      </w:r>
    </w:p>
  </w:endnote>
  <w:endnote w:type="continuationSeparator" w:id="0">
    <w:p w14:paraId="1B54E0C6" w14:textId="77777777" w:rsidR="00F9755B" w:rsidRDefault="00F9755B" w:rsidP="005F33D2">
      <w:pPr>
        <w:spacing w:after="0" w:line="240" w:lineRule="auto"/>
      </w:pPr>
      <w:r>
        <w:continuationSeparator/>
      </w:r>
    </w:p>
  </w:endnote>
  <w:endnote w:type="continuationNotice" w:id="1">
    <w:p w14:paraId="01C73428" w14:textId="77777777" w:rsidR="00F9755B" w:rsidRDefault="00F975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Roboto">
    <w:altName w:val="Arial"/>
    <w:charset w:val="00"/>
    <w:family w:val="auto"/>
    <w:pitch w:val="variable"/>
    <w:sig w:usb0="E00002FF" w:usb1="5000205B" w:usb2="00000020" w:usb3="00000000" w:csb0="0000019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0331963"/>
      <w:docPartObj>
        <w:docPartGallery w:val="Page Numbers (Bottom of Page)"/>
        <w:docPartUnique/>
      </w:docPartObj>
    </w:sdtPr>
    <w:sdtEndPr>
      <w:rPr>
        <w:noProof/>
      </w:rPr>
    </w:sdtEndPr>
    <w:sdtContent>
      <w:p w14:paraId="59F1073D" w14:textId="17DA8E98" w:rsidR="00C831B3" w:rsidRDefault="00C831B3">
        <w:pPr>
          <w:pStyle w:val="Footer"/>
          <w:jc w:val="right"/>
        </w:pPr>
        <w:r>
          <w:fldChar w:fldCharType="begin"/>
        </w:r>
        <w:r>
          <w:instrText xml:space="preserve"> PAGE   \* MERGEFORMAT </w:instrText>
        </w:r>
        <w:r>
          <w:fldChar w:fldCharType="separate"/>
        </w:r>
        <w:r w:rsidR="005275EF">
          <w:rPr>
            <w:noProof/>
          </w:rPr>
          <w:t>3</w:t>
        </w:r>
        <w:r>
          <w:rPr>
            <w:noProof/>
          </w:rPr>
          <w:fldChar w:fldCharType="end"/>
        </w:r>
      </w:p>
    </w:sdtContent>
  </w:sdt>
  <w:p w14:paraId="3B01ADF2" w14:textId="77777777" w:rsidR="00C831B3" w:rsidRDefault="00C831B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C3651E" w14:textId="77777777" w:rsidR="00F9755B" w:rsidRDefault="00F9755B" w:rsidP="005F33D2">
      <w:pPr>
        <w:spacing w:after="0" w:line="240" w:lineRule="auto"/>
      </w:pPr>
      <w:r>
        <w:separator/>
      </w:r>
    </w:p>
  </w:footnote>
  <w:footnote w:type="continuationSeparator" w:id="0">
    <w:p w14:paraId="64CE2C5D" w14:textId="77777777" w:rsidR="00F9755B" w:rsidRDefault="00F9755B" w:rsidP="005F33D2">
      <w:pPr>
        <w:spacing w:after="0" w:line="240" w:lineRule="auto"/>
      </w:pPr>
      <w:r>
        <w:continuationSeparator/>
      </w:r>
    </w:p>
  </w:footnote>
  <w:footnote w:type="continuationNotice" w:id="1">
    <w:p w14:paraId="20C15DE4" w14:textId="77777777" w:rsidR="00F9755B" w:rsidRDefault="00F9755B">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4C1D8F"/>
    <w:multiLevelType w:val="hybridMultilevel"/>
    <w:tmpl w:val="40B60B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431B2EB0"/>
    <w:multiLevelType w:val="hybridMultilevel"/>
    <w:tmpl w:val="9BD85D1E"/>
    <w:lvl w:ilvl="0" w:tplc="E36ADE5E">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575940BD"/>
    <w:multiLevelType w:val="hybridMultilevel"/>
    <w:tmpl w:val="E0941A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575E69A4"/>
    <w:multiLevelType w:val="hybridMultilevel"/>
    <w:tmpl w:val="1886283C"/>
    <w:lvl w:ilvl="0" w:tplc="E36ADE5E">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5C695F23"/>
    <w:multiLevelType w:val="hybridMultilevel"/>
    <w:tmpl w:val="F3664416"/>
    <w:lvl w:ilvl="0" w:tplc="E36ADE5E">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646F5365"/>
    <w:multiLevelType w:val="hybridMultilevel"/>
    <w:tmpl w:val="053E7F66"/>
    <w:lvl w:ilvl="0" w:tplc="E36ADE5E">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3D2"/>
    <w:rsid w:val="000009C0"/>
    <w:rsid w:val="00012F64"/>
    <w:rsid w:val="00072038"/>
    <w:rsid w:val="00106647"/>
    <w:rsid w:val="0011007D"/>
    <w:rsid w:val="00125CC6"/>
    <w:rsid w:val="001B3D27"/>
    <w:rsid w:val="001B7FD1"/>
    <w:rsid w:val="001C105A"/>
    <w:rsid w:val="001C39F8"/>
    <w:rsid w:val="001D6BA1"/>
    <w:rsid w:val="001E0AC3"/>
    <w:rsid w:val="002211FB"/>
    <w:rsid w:val="00247D68"/>
    <w:rsid w:val="00287DD8"/>
    <w:rsid w:val="002A1CA8"/>
    <w:rsid w:val="002C189D"/>
    <w:rsid w:val="00336705"/>
    <w:rsid w:val="003413F5"/>
    <w:rsid w:val="00343DF5"/>
    <w:rsid w:val="0037363F"/>
    <w:rsid w:val="003D1BC8"/>
    <w:rsid w:val="00421FC0"/>
    <w:rsid w:val="00432D3C"/>
    <w:rsid w:val="004379E1"/>
    <w:rsid w:val="0045253C"/>
    <w:rsid w:val="00482B85"/>
    <w:rsid w:val="00494C6B"/>
    <w:rsid w:val="004A08C9"/>
    <w:rsid w:val="004A2D7F"/>
    <w:rsid w:val="004D448F"/>
    <w:rsid w:val="0051195F"/>
    <w:rsid w:val="00513F88"/>
    <w:rsid w:val="005275EF"/>
    <w:rsid w:val="00545C2E"/>
    <w:rsid w:val="00582109"/>
    <w:rsid w:val="005850B8"/>
    <w:rsid w:val="0059532D"/>
    <w:rsid w:val="005A631A"/>
    <w:rsid w:val="005D175A"/>
    <w:rsid w:val="005F33D2"/>
    <w:rsid w:val="005F42DD"/>
    <w:rsid w:val="006001D1"/>
    <w:rsid w:val="00640911"/>
    <w:rsid w:val="006467D8"/>
    <w:rsid w:val="00675704"/>
    <w:rsid w:val="00683FEE"/>
    <w:rsid w:val="00691D91"/>
    <w:rsid w:val="006C7382"/>
    <w:rsid w:val="006E6704"/>
    <w:rsid w:val="00746611"/>
    <w:rsid w:val="007A18A0"/>
    <w:rsid w:val="007E0101"/>
    <w:rsid w:val="008028AB"/>
    <w:rsid w:val="0085551F"/>
    <w:rsid w:val="00856CEF"/>
    <w:rsid w:val="008932C3"/>
    <w:rsid w:val="008B1B9B"/>
    <w:rsid w:val="008C4D2B"/>
    <w:rsid w:val="008D4F2D"/>
    <w:rsid w:val="008F2555"/>
    <w:rsid w:val="008F3F2A"/>
    <w:rsid w:val="0091227D"/>
    <w:rsid w:val="00937A10"/>
    <w:rsid w:val="009418E9"/>
    <w:rsid w:val="009506E4"/>
    <w:rsid w:val="00954D9B"/>
    <w:rsid w:val="009A27A8"/>
    <w:rsid w:val="009B24CE"/>
    <w:rsid w:val="009D68D0"/>
    <w:rsid w:val="009E765D"/>
    <w:rsid w:val="00A02731"/>
    <w:rsid w:val="00A128CA"/>
    <w:rsid w:val="00A2015D"/>
    <w:rsid w:val="00A735A5"/>
    <w:rsid w:val="00A91967"/>
    <w:rsid w:val="00A95843"/>
    <w:rsid w:val="00AA1A3F"/>
    <w:rsid w:val="00AA76F3"/>
    <w:rsid w:val="00AC4AB9"/>
    <w:rsid w:val="00AE30F9"/>
    <w:rsid w:val="00B50381"/>
    <w:rsid w:val="00B70754"/>
    <w:rsid w:val="00C34FF8"/>
    <w:rsid w:val="00C36251"/>
    <w:rsid w:val="00C831B3"/>
    <w:rsid w:val="00CA146D"/>
    <w:rsid w:val="00D00EF2"/>
    <w:rsid w:val="00D50F8D"/>
    <w:rsid w:val="00D70031"/>
    <w:rsid w:val="00D77260"/>
    <w:rsid w:val="00DC7B99"/>
    <w:rsid w:val="00E30F93"/>
    <w:rsid w:val="00E62576"/>
    <w:rsid w:val="00E80226"/>
    <w:rsid w:val="00F15A0E"/>
    <w:rsid w:val="00F43E25"/>
    <w:rsid w:val="00F5473C"/>
    <w:rsid w:val="00F56F39"/>
    <w:rsid w:val="00F73320"/>
    <w:rsid w:val="00F82AF5"/>
    <w:rsid w:val="00F9755B"/>
    <w:rsid w:val="00FA0BCA"/>
    <w:rsid w:val="00FB7442"/>
    <w:rsid w:val="00FC36AF"/>
    <w:rsid w:val="00FC6230"/>
    <w:rsid w:val="00FE20D4"/>
    <w:rsid w:val="00FE2873"/>
    <w:rsid w:val="00FF2E1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6ADB2A"/>
  <w15:chartTrackingRefBased/>
  <w15:docId w15:val="{1E66E286-7FCB-4B62-A888-F2731894F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oboto" w:eastAsiaTheme="minorHAnsi" w:hAnsi="Roboto" w:cstheme="minorBidi"/>
        <w:sz w:val="21"/>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A146D"/>
    <w:pPr>
      <w:spacing w:after="0" w:line="240" w:lineRule="auto"/>
      <w:jc w:val="both"/>
      <w:outlineLvl w:val="0"/>
    </w:pPr>
    <w:rPr>
      <w:rFonts w:ascii="Calibri" w:hAnsi="Calibri"/>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33D2"/>
    <w:pPr>
      <w:tabs>
        <w:tab w:val="center" w:pos="4153"/>
        <w:tab w:val="right" w:pos="8306"/>
      </w:tabs>
      <w:spacing w:after="0" w:line="240" w:lineRule="auto"/>
    </w:pPr>
  </w:style>
  <w:style w:type="character" w:customStyle="1" w:styleId="HeaderChar">
    <w:name w:val="Header Char"/>
    <w:basedOn w:val="DefaultParagraphFont"/>
    <w:link w:val="Header"/>
    <w:uiPriority w:val="99"/>
    <w:rsid w:val="005F33D2"/>
  </w:style>
  <w:style w:type="paragraph" w:styleId="Footer">
    <w:name w:val="footer"/>
    <w:basedOn w:val="Normal"/>
    <w:link w:val="FooterChar"/>
    <w:uiPriority w:val="99"/>
    <w:unhideWhenUsed/>
    <w:rsid w:val="005F33D2"/>
    <w:pPr>
      <w:tabs>
        <w:tab w:val="center" w:pos="4153"/>
        <w:tab w:val="right" w:pos="8306"/>
      </w:tabs>
      <w:spacing w:after="0" w:line="240" w:lineRule="auto"/>
    </w:pPr>
  </w:style>
  <w:style w:type="character" w:customStyle="1" w:styleId="FooterChar">
    <w:name w:val="Footer Char"/>
    <w:basedOn w:val="DefaultParagraphFont"/>
    <w:link w:val="Footer"/>
    <w:uiPriority w:val="99"/>
    <w:rsid w:val="005F33D2"/>
  </w:style>
  <w:style w:type="paragraph" w:styleId="BalloonText">
    <w:name w:val="Balloon Text"/>
    <w:basedOn w:val="Normal"/>
    <w:link w:val="BalloonTextChar"/>
    <w:uiPriority w:val="99"/>
    <w:semiHidden/>
    <w:unhideWhenUsed/>
    <w:rsid w:val="005F33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33D2"/>
    <w:rPr>
      <w:rFonts w:ascii="Segoe UI" w:hAnsi="Segoe UI" w:cs="Segoe UI"/>
      <w:sz w:val="18"/>
      <w:szCs w:val="18"/>
    </w:rPr>
  </w:style>
  <w:style w:type="character" w:styleId="Hyperlink">
    <w:name w:val="Hyperlink"/>
    <w:aliases w:val="Δεσμός"/>
    <w:basedOn w:val="DefaultParagraphFont"/>
    <w:uiPriority w:val="99"/>
    <w:unhideWhenUsed/>
    <w:rsid w:val="002C189D"/>
    <w:rPr>
      <w:color w:val="0563C1" w:themeColor="hyperlink"/>
      <w:u w:val="single"/>
    </w:rPr>
  </w:style>
  <w:style w:type="paragraph" w:styleId="ListParagraph">
    <w:name w:val="List Paragraph"/>
    <w:aliases w:val="Κουκίδες"/>
    <w:basedOn w:val="Normal"/>
    <w:link w:val="ListParagraphChar"/>
    <w:uiPriority w:val="34"/>
    <w:qFormat/>
    <w:rsid w:val="00E62576"/>
    <w:pPr>
      <w:ind w:left="720"/>
      <w:contextualSpacing/>
    </w:pPr>
  </w:style>
  <w:style w:type="character" w:customStyle="1" w:styleId="ListParagraphChar">
    <w:name w:val="List Paragraph Char"/>
    <w:aliases w:val="Κουκίδες Char"/>
    <w:link w:val="ListParagraph"/>
    <w:uiPriority w:val="34"/>
    <w:locked/>
    <w:rsid w:val="00E62576"/>
  </w:style>
  <w:style w:type="character" w:customStyle="1" w:styleId="Heading1Char">
    <w:name w:val="Heading 1 Char"/>
    <w:basedOn w:val="DefaultParagraphFont"/>
    <w:link w:val="Heading1"/>
    <w:uiPriority w:val="9"/>
    <w:rsid w:val="00CA146D"/>
    <w:rPr>
      <w:rFonts w:ascii="Calibri" w:hAnsi="Calibri"/>
      <w:b/>
      <w:bCs/>
      <w:sz w:val="22"/>
      <w:lang w:val="en-US"/>
    </w:rPr>
  </w:style>
  <w:style w:type="paragraph" w:styleId="Revision">
    <w:name w:val="Revision"/>
    <w:hidden/>
    <w:uiPriority w:val="99"/>
    <w:semiHidden/>
    <w:rsid w:val="001B3D27"/>
    <w:pPr>
      <w:spacing w:after="0" w:line="240" w:lineRule="auto"/>
    </w:pPr>
  </w:style>
  <w:style w:type="character" w:customStyle="1" w:styleId="UnresolvedMention1">
    <w:name w:val="Unresolved Mention1"/>
    <w:basedOn w:val="DefaultParagraphFont"/>
    <w:uiPriority w:val="99"/>
    <w:semiHidden/>
    <w:unhideWhenUsed/>
    <w:rsid w:val="009418E9"/>
    <w:rPr>
      <w:color w:val="605E5C"/>
      <w:shd w:val="clear" w:color="auto" w:fill="E1DFDD"/>
    </w:rPr>
  </w:style>
  <w:style w:type="character" w:styleId="CommentReference">
    <w:name w:val="annotation reference"/>
    <w:basedOn w:val="DefaultParagraphFont"/>
    <w:uiPriority w:val="99"/>
    <w:semiHidden/>
    <w:unhideWhenUsed/>
    <w:rsid w:val="007A18A0"/>
    <w:rPr>
      <w:sz w:val="16"/>
      <w:szCs w:val="16"/>
    </w:rPr>
  </w:style>
  <w:style w:type="paragraph" w:styleId="CommentText">
    <w:name w:val="annotation text"/>
    <w:basedOn w:val="Normal"/>
    <w:link w:val="CommentTextChar"/>
    <w:uiPriority w:val="99"/>
    <w:semiHidden/>
    <w:unhideWhenUsed/>
    <w:rsid w:val="007A18A0"/>
    <w:pPr>
      <w:spacing w:line="240" w:lineRule="auto"/>
    </w:pPr>
    <w:rPr>
      <w:sz w:val="20"/>
      <w:szCs w:val="20"/>
    </w:rPr>
  </w:style>
  <w:style w:type="character" w:customStyle="1" w:styleId="CommentTextChar">
    <w:name w:val="Comment Text Char"/>
    <w:basedOn w:val="DefaultParagraphFont"/>
    <w:link w:val="CommentText"/>
    <w:uiPriority w:val="99"/>
    <w:semiHidden/>
    <w:rsid w:val="007A18A0"/>
    <w:rPr>
      <w:sz w:val="20"/>
      <w:szCs w:val="20"/>
    </w:rPr>
  </w:style>
  <w:style w:type="paragraph" w:styleId="CommentSubject">
    <w:name w:val="annotation subject"/>
    <w:basedOn w:val="CommentText"/>
    <w:next w:val="CommentText"/>
    <w:link w:val="CommentSubjectChar"/>
    <w:uiPriority w:val="99"/>
    <w:semiHidden/>
    <w:unhideWhenUsed/>
    <w:rsid w:val="007A18A0"/>
    <w:rPr>
      <w:b/>
      <w:bCs/>
    </w:rPr>
  </w:style>
  <w:style w:type="character" w:customStyle="1" w:styleId="CommentSubjectChar">
    <w:name w:val="Comment Subject Char"/>
    <w:basedOn w:val="CommentTextChar"/>
    <w:link w:val="CommentSubject"/>
    <w:uiPriority w:val="99"/>
    <w:semiHidden/>
    <w:rsid w:val="007A18A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athexgroup.gr/el/web/guest/companies-new-listing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nbg.gr/el/retail/investment-products/enimerotika-deltia/deltia-epihirisewn" TargetMode="Externa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7.jpe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jpg"/><Relationship Id="rId20" Type="http://schemas.openxmlformats.org/officeDocument/2006/relationships/hyperlink" Target="https://prodea.gr/omologiaka-danei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https://www.optimabank.gr/business/investment-banking/enimerotika-pliroforiaka-deltia" TargetMode="External"/><Relationship Id="rId10" Type="http://schemas.openxmlformats.org/officeDocument/2006/relationships/endnotes" Target="endnotes.xml"/><Relationship Id="rId19" Type="http://schemas.openxmlformats.org/officeDocument/2006/relationships/hyperlink" Target="http://www.hcmc.gr/el_GR/web/portal/elib/delti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www.alpha.gr/el/idiotes/ependuseis/xrimatistiriakes-upiresies/enimerotika-delt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isl xmlns:xsd="http://www.w3.org/2001/XMLSchema" xmlns:xsi="http://www.w3.org/2001/XMLSchema-instance" xmlns="http://www.boldonjames.com/2008/01/sie/internal/label" sislVersion="0" policy="1856e6d8-d47c-4864-b707-aeccb08a5d1c" origin="userSelected">
  <element uid="7dcacf6f-deb5-4c34-8028-b595f7b87178" value=""/>
  <element uid="27141fe4-c777-43f9-870c-236f9576c3ed" value=""/>
</sisl>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58D1D1700681F4797F3D7DB6D48B944" ma:contentTypeVersion="0" ma:contentTypeDescription="Create a new document." ma:contentTypeScope="" ma:versionID="3e0488ff0df938971b46d6553e821e7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11D8BF-8557-4D12-8A79-58A704D229BB}">
  <ds:schemaRefs>
    <ds:schemaRef ds:uri="http://schemas.microsoft.com/sharepoint/v3/contenttype/forms"/>
  </ds:schemaRefs>
</ds:datastoreItem>
</file>

<file path=customXml/itemProps2.xml><?xml version="1.0" encoding="utf-8"?>
<ds:datastoreItem xmlns:ds="http://schemas.openxmlformats.org/officeDocument/2006/customXml" ds:itemID="{E5E0B8B8-13A1-448D-91E4-234DD8D4E7BD}">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7C2D8093-149E-447C-B4C3-43368721D6AE}">
  <ds:schemaRefs>
    <ds:schemaRef ds:uri="http://schemas.microsoft.com/office/infopath/2007/PartnerControls"/>
    <ds:schemaRef ds:uri="http://purl.org/dc/dcmitype/"/>
    <ds:schemaRef ds:uri="http://schemas.microsoft.com/office/2006/metadata/properties"/>
    <ds:schemaRef ds:uri="http://schemas.openxmlformats.org/package/2006/metadata/core-properties"/>
    <ds:schemaRef ds:uri="http://purl.org/dc/terms/"/>
    <ds:schemaRef ds:uri="http://schemas.microsoft.com/office/2006/documentManagement/types"/>
    <ds:schemaRef ds:uri="http://purl.org/dc/elements/1.1/"/>
    <ds:schemaRef ds:uri="http://www.w3.org/XML/1998/namespace"/>
  </ds:schemaRefs>
</ds:datastoreItem>
</file>

<file path=customXml/itemProps4.xml><?xml version="1.0" encoding="utf-8"?>
<ds:datastoreItem xmlns:ds="http://schemas.openxmlformats.org/officeDocument/2006/customXml" ds:itemID="{07D69191-D52B-4B72-80F5-7C52F50ACC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2278</Words>
  <Characters>12307</Characters>
  <Application>Microsoft Office Word</Application>
  <DocSecurity>0</DocSecurity>
  <Lines>102</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Eleana Rouga</dc:creator>
  <cp:keywords/>
  <dc:description/>
  <cp:lastModifiedBy>Καραχάλιου Μαρία</cp:lastModifiedBy>
  <cp:revision>6</cp:revision>
  <dcterms:created xsi:type="dcterms:W3CDTF">2021-07-13T06:40:00Z</dcterms:created>
  <dcterms:modified xsi:type="dcterms:W3CDTF">2021-07-13T07:01:00Z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4ec0f561-8451-4f69-839c-46a8fbed86bf</vt:lpwstr>
  </property>
  <property fmtid="{D5CDD505-2E9C-101B-9397-08002B2CF9AE}" pid="3" name="bjSaver">
    <vt:lpwstr>ks5rInTXfVRFFhFUoIz507lyUoGih+Y0</vt:lpwstr>
  </property>
  <property fmtid="{D5CDD505-2E9C-101B-9397-08002B2CF9AE}" pid="4" name="bjDocumentLabelXML">
    <vt:lpwstr>&lt;?xml version="1.0" encoding="us-ascii"?&gt;&lt;sisl xmlns:xsd="http://www.w3.org/2001/XMLSchema" xmlns:xsi="http://www.w3.org/2001/XMLSchema-instance" sislVersion="0" policy="1856e6d8-d47c-4864-b707-aeccb08a5d1c" origin="userSelected" xmlns="http://www.boldonj</vt:lpwstr>
  </property>
  <property fmtid="{D5CDD505-2E9C-101B-9397-08002B2CF9AE}" pid="5" name="bjDocumentLabelXML-0">
    <vt:lpwstr>ames.com/2008/01/sie/internal/label"&gt;&lt;element uid="7dcacf6f-deb5-4c34-8028-b595f7b87178" value="" /&gt;&lt;element uid="27141fe4-c777-43f9-870c-236f9576c3ed" value="" /&gt;&lt;/sisl&gt;</vt:lpwstr>
  </property>
  <property fmtid="{D5CDD505-2E9C-101B-9397-08002B2CF9AE}" pid="6" name="bjDocumentSecurityLabel">
    <vt:lpwstr>Confidential</vt:lpwstr>
  </property>
  <property fmtid="{D5CDD505-2E9C-101B-9397-08002B2CF9AE}" pid="7" name="ContentTypeId">
    <vt:lpwstr>0x010100F58D1D1700681F4797F3D7DB6D48B944</vt:lpwstr>
  </property>
</Properties>
</file>